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7F41" w14:textId="0F9748C3" w:rsidR="00CD6EF3" w:rsidRPr="006E45BE" w:rsidRDefault="006E45BE" w:rsidP="00BF65E0">
      <w:pPr>
        <w:tabs>
          <w:tab w:val="center" w:pos="4680"/>
          <w:tab w:val="left" w:pos="5220"/>
          <w:tab w:val="left" w:pos="5772"/>
        </w:tabs>
        <w:spacing w:after="0" w:line="276" w:lineRule="auto"/>
        <w:outlineLvl w:val="0"/>
        <w:rPr>
          <w:rFonts w:cs="Calibri"/>
          <w:b/>
          <w:bCs/>
          <w:i/>
          <w:iCs/>
          <w:color w:val="000099"/>
          <w:sz w:val="18"/>
          <w:szCs w:val="18"/>
        </w:rPr>
      </w:pPr>
      <w:r>
        <w:rPr>
          <w:rFonts w:cs="Calibri"/>
          <w:b/>
          <w:bCs/>
          <w:i/>
          <w:iCs/>
          <w:color w:val="000099"/>
          <w:sz w:val="14"/>
          <w:szCs w:val="14"/>
        </w:rPr>
        <w:tab/>
      </w:r>
      <w:r w:rsidR="0064783E" w:rsidRPr="00297B91">
        <w:rPr>
          <w:rFonts w:eastAsia="Times New Roman" w:cstheme="minorHAnsi"/>
          <w:b/>
          <w:bCs/>
          <w:noProof/>
          <w:kern w:val="36"/>
          <w:sz w:val="14"/>
          <w:szCs w:val="14"/>
        </w:rPr>
        <w:drawing>
          <wp:anchor distT="0" distB="0" distL="114300" distR="114300" simplePos="0" relativeHeight="251658240" behindDoc="1" locked="0" layoutInCell="1" allowOverlap="1" wp14:anchorId="19D488F7" wp14:editId="2367DF21">
            <wp:simplePos x="0" y="0"/>
            <wp:positionH relativeFrom="margin">
              <wp:align>center</wp:align>
            </wp:positionH>
            <wp:positionV relativeFrom="paragraph">
              <wp:posOffset>-336550</wp:posOffset>
            </wp:positionV>
            <wp:extent cx="2336165" cy="640080"/>
            <wp:effectExtent l="0" t="0" r="6985" b="7620"/>
            <wp:wrapNone/>
            <wp:docPr id="1" name="Picture 1" descr="Southwest ADA Center at ILRU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west ADA Center at ILRU logo">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16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bCs/>
          <w:i/>
          <w:iCs/>
          <w:color w:val="000099"/>
          <w:sz w:val="14"/>
          <w:szCs w:val="14"/>
        </w:rPr>
        <w:tab/>
      </w:r>
      <w:r w:rsidR="00BF65E0">
        <w:rPr>
          <w:rFonts w:cs="Calibri"/>
          <w:b/>
          <w:bCs/>
          <w:i/>
          <w:iCs/>
          <w:color w:val="000099"/>
          <w:sz w:val="14"/>
          <w:szCs w:val="14"/>
        </w:rPr>
        <w:tab/>
      </w:r>
    </w:p>
    <w:p w14:paraId="3B02A180" w14:textId="77777777" w:rsidR="00CD6EF3" w:rsidRPr="006E45BE" w:rsidRDefault="00CD6EF3" w:rsidP="00CD6EF3">
      <w:pPr>
        <w:spacing w:after="0" w:line="276" w:lineRule="auto"/>
        <w:jc w:val="center"/>
        <w:outlineLvl w:val="0"/>
        <w:rPr>
          <w:rFonts w:cs="Calibri"/>
          <w:b/>
          <w:bCs/>
          <w:i/>
          <w:iCs/>
          <w:color w:val="000099"/>
          <w:sz w:val="18"/>
          <w:szCs w:val="18"/>
        </w:rPr>
      </w:pPr>
      <w:r w:rsidRPr="006E45BE">
        <w:rPr>
          <w:rFonts w:cs="Calibri"/>
          <w:b/>
          <w:bCs/>
          <w:i/>
          <w:iCs/>
          <w:color w:val="000099"/>
          <w:sz w:val="18"/>
          <w:szCs w:val="18"/>
        </w:rPr>
        <w:t xml:space="preserve">1333 Moursund Street, Houston, TX 77030 </w:t>
      </w:r>
    </w:p>
    <w:p w14:paraId="6EFA90E0" w14:textId="77777777" w:rsidR="00CD6EF3" w:rsidRPr="006E45BE" w:rsidRDefault="00CD6EF3" w:rsidP="00CD6EF3">
      <w:pPr>
        <w:spacing w:after="0" w:line="276" w:lineRule="auto"/>
        <w:jc w:val="center"/>
        <w:outlineLvl w:val="0"/>
        <w:rPr>
          <w:rFonts w:eastAsia="Times New Roman" w:cstheme="minorHAnsi"/>
          <w:b/>
          <w:bCs/>
          <w:kern w:val="36"/>
          <w:sz w:val="18"/>
          <w:szCs w:val="18"/>
        </w:rPr>
      </w:pPr>
      <w:r w:rsidRPr="006E45BE">
        <w:rPr>
          <w:rFonts w:cs="Calibri"/>
          <w:b/>
          <w:bCs/>
          <w:color w:val="000099"/>
          <w:sz w:val="18"/>
          <w:szCs w:val="18"/>
        </w:rPr>
        <w:t>SouthwestADA.org           1-800-949-4ADA</w:t>
      </w:r>
    </w:p>
    <w:p w14:paraId="1D94D85D" w14:textId="77777777" w:rsidR="00CD6EF3" w:rsidRPr="00FE76DA" w:rsidRDefault="00CD6EF3" w:rsidP="001D2933">
      <w:pPr>
        <w:spacing w:after="0" w:line="276" w:lineRule="auto"/>
        <w:jc w:val="center"/>
        <w:outlineLvl w:val="0"/>
        <w:rPr>
          <w:rFonts w:eastAsia="Times New Roman" w:cstheme="minorHAnsi"/>
          <w:b/>
          <w:bCs/>
          <w:kern w:val="36"/>
          <w:sz w:val="20"/>
          <w:szCs w:val="20"/>
        </w:rPr>
      </w:pPr>
    </w:p>
    <w:p w14:paraId="723D2C58" w14:textId="77777777" w:rsidR="00DB572F" w:rsidRPr="00FE76DA" w:rsidRDefault="00124967" w:rsidP="001D2933">
      <w:pPr>
        <w:spacing w:after="0" w:line="276" w:lineRule="auto"/>
        <w:jc w:val="center"/>
        <w:outlineLvl w:val="0"/>
        <w:rPr>
          <w:rFonts w:eastAsia="Times New Roman" w:cstheme="minorHAnsi"/>
          <w:b/>
          <w:bCs/>
          <w:kern w:val="36"/>
          <w:sz w:val="32"/>
          <w:szCs w:val="32"/>
        </w:rPr>
      </w:pPr>
      <w:r w:rsidRPr="00FE76DA">
        <w:rPr>
          <w:rFonts w:eastAsia="Times New Roman" w:cstheme="minorHAnsi"/>
          <w:b/>
          <w:bCs/>
          <w:kern w:val="36"/>
          <w:sz w:val="32"/>
          <w:szCs w:val="32"/>
        </w:rPr>
        <w:t>The ADA Interactive Process As It Pertains to the Public</w:t>
      </w:r>
    </w:p>
    <w:p w14:paraId="2FDB0D87" w14:textId="7201CDD9" w:rsidR="00124967" w:rsidRPr="00FE76DA" w:rsidRDefault="00F405F9" w:rsidP="001D2933">
      <w:pPr>
        <w:spacing w:after="0" w:line="276" w:lineRule="auto"/>
        <w:jc w:val="center"/>
        <w:outlineLvl w:val="0"/>
        <w:rPr>
          <w:rFonts w:cstheme="minorHAnsi"/>
          <w:iCs/>
          <w:sz w:val="20"/>
          <w:szCs w:val="20"/>
        </w:rPr>
      </w:pPr>
      <w:r w:rsidRPr="00FE76DA">
        <w:rPr>
          <w:rFonts w:cstheme="minorHAnsi"/>
          <w:iCs/>
          <w:sz w:val="20"/>
          <w:szCs w:val="20"/>
        </w:rPr>
        <w:t>Julie Ballinger, Southwest ADA Center Affiliate</w:t>
      </w:r>
    </w:p>
    <w:p w14:paraId="01A2BAB4" w14:textId="2062D322" w:rsidR="006A75A5" w:rsidRPr="00FE76DA" w:rsidRDefault="00F405F9" w:rsidP="006A75A5">
      <w:pPr>
        <w:spacing w:after="0" w:line="276" w:lineRule="auto"/>
        <w:jc w:val="center"/>
        <w:outlineLvl w:val="0"/>
        <w:rPr>
          <w:rFonts w:cstheme="minorHAnsi"/>
          <w:iCs/>
          <w:sz w:val="20"/>
          <w:szCs w:val="20"/>
        </w:rPr>
      </w:pPr>
      <w:r w:rsidRPr="00FE76DA">
        <w:rPr>
          <w:rFonts w:cstheme="minorHAnsi"/>
          <w:iCs/>
          <w:sz w:val="20"/>
          <w:szCs w:val="20"/>
        </w:rPr>
        <w:t xml:space="preserve">(505)797.8612  /  </w:t>
      </w:r>
      <w:hyperlink r:id="rId8" w:history="1">
        <w:r w:rsidR="00C55F1B" w:rsidRPr="00E21BF8">
          <w:rPr>
            <w:rStyle w:val="Hyperlink"/>
            <w:rFonts w:cstheme="minorHAnsi"/>
            <w:iCs/>
            <w:sz w:val="20"/>
            <w:szCs w:val="20"/>
          </w:rPr>
          <w:t>julieDballinger@outlook.com</w:t>
        </w:r>
      </w:hyperlink>
    </w:p>
    <w:p w14:paraId="5AE149E1" w14:textId="77777777" w:rsidR="006A75A5" w:rsidRPr="006A75A5" w:rsidRDefault="006A75A5" w:rsidP="006A75A5">
      <w:pPr>
        <w:spacing w:after="0" w:line="276" w:lineRule="auto"/>
        <w:jc w:val="center"/>
        <w:outlineLvl w:val="0"/>
        <w:rPr>
          <w:rFonts w:cstheme="minorHAnsi"/>
          <w:iCs/>
          <w:sz w:val="12"/>
          <w:szCs w:val="12"/>
        </w:rPr>
      </w:pPr>
    </w:p>
    <w:p w14:paraId="0FDC2950" w14:textId="77777777" w:rsidR="006A75A5" w:rsidRPr="006A75A5" w:rsidRDefault="006A75A5" w:rsidP="006A75A5">
      <w:pPr>
        <w:spacing w:after="0" w:line="240" w:lineRule="auto"/>
        <w:rPr>
          <w:sz w:val="18"/>
          <w:szCs w:val="18"/>
        </w:rPr>
      </w:pPr>
      <w:r w:rsidRPr="006A75A5">
        <w:rPr>
          <w:sz w:val="18"/>
          <w:szCs w:val="18"/>
        </w:rPr>
        <w:t>This information herein is intended solely as informational guidance and is neither a determination of legal rights or responsibilities under the ADA or any other law, nor binding on any agency with enforcement responsibility under the ADA or any other law.</w:t>
      </w:r>
    </w:p>
    <w:p w14:paraId="0C29A893" w14:textId="77777777" w:rsidR="006A75A5" w:rsidRPr="00FE76DA" w:rsidRDefault="006A75A5" w:rsidP="001D2933">
      <w:pPr>
        <w:spacing w:after="0" w:line="276" w:lineRule="auto"/>
        <w:rPr>
          <w:rFonts w:eastAsia="Times New Roman" w:cstheme="minorHAnsi"/>
          <w:b/>
          <w:sz w:val="18"/>
          <w:szCs w:val="18"/>
        </w:rPr>
      </w:pPr>
    </w:p>
    <w:p w14:paraId="3534BFF5" w14:textId="77777777" w:rsidR="0040438E" w:rsidRPr="0040438E" w:rsidRDefault="0040438E" w:rsidP="001D2933">
      <w:pPr>
        <w:spacing w:after="0" w:line="276" w:lineRule="auto"/>
        <w:rPr>
          <w:rFonts w:eastAsia="Times New Roman" w:cstheme="minorHAnsi"/>
          <w:b/>
          <w:sz w:val="24"/>
          <w:szCs w:val="24"/>
        </w:rPr>
      </w:pPr>
      <w:r w:rsidRPr="0040438E">
        <w:rPr>
          <w:rFonts w:eastAsia="Times New Roman" w:cstheme="minorHAnsi"/>
          <w:b/>
          <w:sz w:val="24"/>
          <w:szCs w:val="24"/>
        </w:rPr>
        <w:t>The Interactive Process</w:t>
      </w:r>
    </w:p>
    <w:p w14:paraId="43B4E874" w14:textId="77777777" w:rsidR="0040438E" w:rsidRPr="0040438E" w:rsidRDefault="00F405F9" w:rsidP="001D2933">
      <w:pPr>
        <w:spacing w:after="0" w:line="276" w:lineRule="auto"/>
        <w:rPr>
          <w:rFonts w:eastAsia="Times New Roman" w:cstheme="minorHAnsi"/>
          <w:sz w:val="24"/>
          <w:szCs w:val="24"/>
        </w:rPr>
      </w:pPr>
      <w:r w:rsidRPr="00F405F9">
        <w:rPr>
          <w:rFonts w:eastAsia="Times New Roman" w:cstheme="minorHAnsi"/>
          <w:sz w:val="24"/>
          <w:szCs w:val="24"/>
        </w:rPr>
        <w:t xml:space="preserve">The interactive process is a </w:t>
      </w:r>
      <w:r w:rsidR="008B275D">
        <w:rPr>
          <w:rFonts w:eastAsia="Times New Roman" w:cstheme="minorHAnsi"/>
          <w:sz w:val="24"/>
          <w:szCs w:val="24"/>
        </w:rPr>
        <w:t xml:space="preserve">requirement found under </w:t>
      </w:r>
      <w:r w:rsidR="00BF1201">
        <w:rPr>
          <w:rFonts w:eastAsia="Times New Roman" w:cstheme="minorHAnsi"/>
          <w:sz w:val="24"/>
          <w:szCs w:val="24"/>
        </w:rPr>
        <w:t xml:space="preserve">the </w:t>
      </w:r>
      <w:r w:rsidR="008B275D">
        <w:rPr>
          <w:rFonts w:eastAsia="Times New Roman" w:cstheme="minorHAnsi"/>
          <w:sz w:val="24"/>
          <w:szCs w:val="24"/>
        </w:rPr>
        <w:t>A</w:t>
      </w:r>
      <w:r w:rsidR="00A118E7">
        <w:rPr>
          <w:rFonts w:eastAsia="Times New Roman" w:cstheme="minorHAnsi"/>
          <w:sz w:val="24"/>
          <w:szCs w:val="24"/>
        </w:rPr>
        <w:t xml:space="preserve">mericans with </w:t>
      </w:r>
      <w:r w:rsidR="00BF1201">
        <w:rPr>
          <w:rFonts w:eastAsia="Times New Roman" w:cstheme="minorHAnsi"/>
          <w:sz w:val="24"/>
          <w:szCs w:val="24"/>
        </w:rPr>
        <w:t>Disabilities</w:t>
      </w:r>
      <w:r w:rsidR="00A118E7">
        <w:rPr>
          <w:rFonts w:eastAsia="Times New Roman" w:cstheme="minorHAnsi"/>
          <w:sz w:val="24"/>
          <w:szCs w:val="24"/>
        </w:rPr>
        <w:t xml:space="preserve"> </w:t>
      </w:r>
      <w:r w:rsidR="008B275D">
        <w:rPr>
          <w:rFonts w:eastAsia="Times New Roman" w:cstheme="minorHAnsi"/>
          <w:sz w:val="24"/>
          <w:szCs w:val="24"/>
        </w:rPr>
        <w:t>A</w:t>
      </w:r>
      <w:r w:rsidR="00A118E7">
        <w:rPr>
          <w:rFonts w:eastAsia="Times New Roman" w:cstheme="minorHAnsi"/>
          <w:sz w:val="24"/>
          <w:szCs w:val="24"/>
        </w:rPr>
        <w:t>ct (ADA)</w:t>
      </w:r>
      <w:r w:rsidR="008B275D">
        <w:rPr>
          <w:rFonts w:eastAsia="Times New Roman" w:cstheme="minorHAnsi"/>
          <w:sz w:val="24"/>
          <w:szCs w:val="24"/>
        </w:rPr>
        <w:t xml:space="preserve"> </w:t>
      </w:r>
      <w:r w:rsidR="0040438E" w:rsidRPr="0040438E">
        <w:rPr>
          <w:rFonts w:eastAsia="Times New Roman" w:cstheme="minorHAnsi"/>
          <w:sz w:val="24"/>
          <w:szCs w:val="24"/>
        </w:rPr>
        <w:t>T</w:t>
      </w:r>
      <w:r w:rsidRPr="00F405F9">
        <w:rPr>
          <w:rFonts w:eastAsia="Times New Roman" w:cstheme="minorHAnsi"/>
          <w:sz w:val="24"/>
          <w:szCs w:val="24"/>
        </w:rPr>
        <w:t xml:space="preserve">itle I </w:t>
      </w:r>
      <w:r w:rsidRPr="0040438E">
        <w:rPr>
          <w:rFonts w:eastAsia="Times New Roman" w:cstheme="minorHAnsi"/>
          <w:sz w:val="24"/>
          <w:szCs w:val="24"/>
        </w:rPr>
        <w:t>Employment</w:t>
      </w:r>
      <w:r w:rsidR="0040438E" w:rsidRPr="0040438E">
        <w:rPr>
          <w:rFonts w:eastAsia="Times New Roman" w:cstheme="minorHAnsi"/>
          <w:sz w:val="24"/>
          <w:szCs w:val="24"/>
        </w:rPr>
        <w:t>. However,</w:t>
      </w:r>
      <w:r w:rsidR="008B275D">
        <w:rPr>
          <w:rFonts w:eastAsia="Times New Roman" w:cstheme="minorHAnsi"/>
          <w:sz w:val="24"/>
          <w:szCs w:val="24"/>
        </w:rPr>
        <w:t xml:space="preserve"> </w:t>
      </w:r>
      <w:r w:rsidR="0040438E" w:rsidRPr="0040438E">
        <w:rPr>
          <w:rFonts w:eastAsia="Times New Roman" w:cstheme="minorHAnsi"/>
          <w:sz w:val="24"/>
          <w:szCs w:val="24"/>
        </w:rPr>
        <w:t>case law lead</w:t>
      </w:r>
      <w:r w:rsidR="0040438E">
        <w:rPr>
          <w:rFonts w:eastAsia="Times New Roman" w:cstheme="minorHAnsi"/>
          <w:sz w:val="24"/>
          <w:szCs w:val="24"/>
        </w:rPr>
        <w:t>s</w:t>
      </w:r>
      <w:r w:rsidR="0040438E" w:rsidRPr="0040438E">
        <w:rPr>
          <w:rFonts w:eastAsia="Times New Roman" w:cstheme="minorHAnsi"/>
          <w:sz w:val="24"/>
          <w:szCs w:val="24"/>
        </w:rPr>
        <w:t xml:space="preserve"> to the need for T</w:t>
      </w:r>
      <w:r w:rsidRPr="00F405F9">
        <w:rPr>
          <w:rFonts w:eastAsia="Times New Roman" w:cstheme="minorHAnsi"/>
          <w:sz w:val="24"/>
          <w:szCs w:val="24"/>
        </w:rPr>
        <w:t xml:space="preserve">itle II </w:t>
      </w:r>
      <w:r w:rsidR="0040438E" w:rsidRPr="0040438E">
        <w:rPr>
          <w:rFonts w:eastAsia="Times New Roman" w:cstheme="minorHAnsi"/>
          <w:sz w:val="24"/>
          <w:szCs w:val="24"/>
        </w:rPr>
        <w:t xml:space="preserve">entities </w:t>
      </w:r>
      <w:r w:rsidRPr="0040438E">
        <w:rPr>
          <w:rFonts w:eastAsia="Times New Roman" w:cstheme="minorHAnsi"/>
          <w:sz w:val="24"/>
          <w:szCs w:val="24"/>
        </w:rPr>
        <w:t>(</w:t>
      </w:r>
      <w:r w:rsidR="0040438E" w:rsidRPr="0040438E">
        <w:rPr>
          <w:rFonts w:eastAsia="Times New Roman" w:cstheme="minorHAnsi"/>
          <w:sz w:val="24"/>
          <w:szCs w:val="24"/>
        </w:rPr>
        <w:t>s</w:t>
      </w:r>
      <w:r w:rsidRPr="0040438E">
        <w:rPr>
          <w:rFonts w:eastAsia="Times New Roman" w:cstheme="minorHAnsi"/>
          <w:sz w:val="24"/>
          <w:szCs w:val="24"/>
        </w:rPr>
        <w:t xml:space="preserve">tate and </w:t>
      </w:r>
      <w:r w:rsidR="0040438E" w:rsidRPr="0040438E">
        <w:rPr>
          <w:rFonts w:eastAsia="Times New Roman" w:cstheme="minorHAnsi"/>
          <w:sz w:val="24"/>
          <w:szCs w:val="24"/>
        </w:rPr>
        <w:t>l</w:t>
      </w:r>
      <w:r w:rsidRPr="0040438E">
        <w:rPr>
          <w:rFonts w:eastAsia="Times New Roman" w:cstheme="minorHAnsi"/>
          <w:sz w:val="24"/>
          <w:szCs w:val="24"/>
        </w:rPr>
        <w:t xml:space="preserve">ocal </w:t>
      </w:r>
      <w:r w:rsidR="0040438E" w:rsidRPr="0040438E">
        <w:rPr>
          <w:rFonts w:eastAsia="Times New Roman" w:cstheme="minorHAnsi"/>
          <w:sz w:val="24"/>
          <w:szCs w:val="24"/>
        </w:rPr>
        <w:t>g</w:t>
      </w:r>
      <w:r w:rsidRPr="0040438E">
        <w:rPr>
          <w:rFonts w:eastAsia="Times New Roman" w:cstheme="minorHAnsi"/>
          <w:sz w:val="24"/>
          <w:szCs w:val="24"/>
        </w:rPr>
        <w:t xml:space="preserve">overnment </w:t>
      </w:r>
      <w:r w:rsidR="0040438E" w:rsidRPr="0040438E">
        <w:rPr>
          <w:rFonts w:eastAsia="Times New Roman" w:cstheme="minorHAnsi"/>
          <w:sz w:val="24"/>
          <w:szCs w:val="24"/>
        </w:rPr>
        <w:t>s</w:t>
      </w:r>
      <w:r w:rsidRPr="0040438E">
        <w:rPr>
          <w:rFonts w:eastAsia="Times New Roman" w:cstheme="minorHAnsi"/>
          <w:sz w:val="24"/>
          <w:szCs w:val="24"/>
        </w:rPr>
        <w:t>ervices to the</w:t>
      </w:r>
      <w:r w:rsidR="0040438E" w:rsidRPr="0040438E">
        <w:rPr>
          <w:rFonts w:eastAsia="Times New Roman" w:cstheme="minorHAnsi"/>
          <w:sz w:val="24"/>
          <w:szCs w:val="24"/>
        </w:rPr>
        <w:t xml:space="preserve"> p</w:t>
      </w:r>
      <w:r w:rsidRPr="0040438E">
        <w:rPr>
          <w:rFonts w:eastAsia="Times New Roman" w:cstheme="minorHAnsi"/>
          <w:sz w:val="24"/>
          <w:szCs w:val="24"/>
        </w:rPr>
        <w:t>ublic)</w:t>
      </w:r>
      <w:r w:rsidRPr="0040438E">
        <w:rPr>
          <w:rFonts w:eastAsia="Times New Roman" w:cstheme="minorHAnsi"/>
          <w:color w:val="C00000"/>
          <w:sz w:val="24"/>
          <w:szCs w:val="24"/>
        </w:rPr>
        <w:t xml:space="preserve"> </w:t>
      </w:r>
      <w:r w:rsidRPr="00F405F9">
        <w:rPr>
          <w:rFonts w:eastAsia="Times New Roman" w:cstheme="minorHAnsi"/>
          <w:sz w:val="24"/>
          <w:szCs w:val="24"/>
        </w:rPr>
        <w:t xml:space="preserve">and </w:t>
      </w:r>
      <w:r w:rsidR="0040438E" w:rsidRPr="0040438E">
        <w:rPr>
          <w:rFonts w:eastAsia="Times New Roman" w:cstheme="minorHAnsi"/>
          <w:sz w:val="24"/>
          <w:szCs w:val="24"/>
        </w:rPr>
        <w:t>T</w:t>
      </w:r>
      <w:r w:rsidRPr="00F405F9">
        <w:rPr>
          <w:rFonts w:eastAsia="Times New Roman" w:cstheme="minorHAnsi"/>
          <w:sz w:val="24"/>
          <w:szCs w:val="24"/>
        </w:rPr>
        <w:t xml:space="preserve">itle III </w:t>
      </w:r>
      <w:r w:rsidR="0040438E" w:rsidRPr="0040438E">
        <w:rPr>
          <w:rFonts w:eastAsia="Times New Roman" w:cstheme="minorHAnsi"/>
          <w:sz w:val="24"/>
          <w:szCs w:val="24"/>
        </w:rPr>
        <w:t xml:space="preserve">entities </w:t>
      </w:r>
      <w:r w:rsidRPr="0040438E">
        <w:rPr>
          <w:rFonts w:eastAsia="Times New Roman" w:cstheme="minorHAnsi"/>
          <w:sz w:val="24"/>
          <w:szCs w:val="24"/>
        </w:rPr>
        <w:t>(</w:t>
      </w:r>
      <w:r w:rsidR="0040438E" w:rsidRPr="0040438E">
        <w:rPr>
          <w:rFonts w:eastAsia="Times New Roman" w:cstheme="minorHAnsi"/>
          <w:sz w:val="24"/>
          <w:szCs w:val="24"/>
        </w:rPr>
        <w:t>b</w:t>
      </w:r>
      <w:r w:rsidRPr="0040438E">
        <w:rPr>
          <w:rFonts w:eastAsia="Times New Roman" w:cstheme="minorHAnsi"/>
          <w:sz w:val="24"/>
          <w:szCs w:val="24"/>
        </w:rPr>
        <w:t xml:space="preserve">usinesses and </w:t>
      </w:r>
      <w:r w:rsidR="0040438E">
        <w:rPr>
          <w:rFonts w:eastAsia="Times New Roman" w:cstheme="minorHAnsi"/>
          <w:sz w:val="24"/>
          <w:szCs w:val="24"/>
        </w:rPr>
        <w:t>n</w:t>
      </w:r>
      <w:r w:rsidR="0040438E" w:rsidRPr="0040438E">
        <w:rPr>
          <w:rFonts w:eastAsia="Times New Roman" w:cstheme="minorHAnsi"/>
          <w:sz w:val="24"/>
          <w:szCs w:val="24"/>
        </w:rPr>
        <w:t>onp</w:t>
      </w:r>
      <w:r w:rsidR="0040438E">
        <w:rPr>
          <w:rFonts w:eastAsia="Times New Roman" w:cstheme="minorHAnsi"/>
          <w:sz w:val="24"/>
          <w:szCs w:val="24"/>
        </w:rPr>
        <w:t>r</w:t>
      </w:r>
      <w:r w:rsidR="0040438E" w:rsidRPr="0040438E">
        <w:rPr>
          <w:rFonts w:eastAsia="Times New Roman" w:cstheme="minorHAnsi"/>
          <w:sz w:val="24"/>
          <w:szCs w:val="24"/>
        </w:rPr>
        <w:t>ofits access obligations</w:t>
      </w:r>
      <w:r w:rsidRPr="0040438E">
        <w:rPr>
          <w:rFonts w:eastAsia="Times New Roman" w:cstheme="minorHAnsi"/>
          <w:sz w:val="24"/>
          <w:szCs w:val="24"/>
        </w:rPr>
        <w:t xml:space="preserve">) </w:t>
      </w:r>
      <w:r w:rsidR="0040438E" w:rsidRPr="0040438E">
        <w:rPr>
          <w:rFonts w:eastAsia="Times New Roman" w:cstheme="minorHAnsi"/>
          <w:sz w:val="24"/>
          <w:szCs w:val="24"/>
        </w:rPr>
        <w:t>to pursue the interactive process with their clients/consumers/customers</w:t>
      </w:r>
      <w:r w:rsidR="004B62AD">
        <w:rPr>
          <w:rFonts w:eastAsia="Times New Roman" w:cstheme="minorHAnsi"/>
          <w:sz w:val="24"/>
          <w:szCs w:val="24"/>
        </w:rPr>
        <w:t xml:space="preserve"> who have disabilities</w:t>
      </w:r>
      <w:r w:rsidR="002D6533">
        <w:rPr>
          <w:rFonts w:eastAsia="Times New Roman" w:cstheme="minorHAnsi"/>
          <w:sz w:val="24"/>
          <w:szCs w:val="24"/>
        </w:rPr>
        <w:t xml:space="preserve">. </w:t>
      </w:r>
      <w:r w:rsidR="004B62AD">
        <w:rPr>
          <w:rFonts w:eastAsia="Times New Roman" w:cstheme="minorHAnsi"/>
          <w:sz w:val="24"/>
          <w:szCs w:val="24"/>
        </w:rPr>
        <w:t>The interactive process is an informal and flexible conversation(s) to</w:t>
      </w:r>
      <w:r w:rsidR="002D6533">
        <w:rPr>
          <w:rFonts w:eastAsia="Times New Roman" w:cstheme="minorHAnsi"/>
          <w:sz w:val="24"/>
          <w:szCs w:val="24"/>
        </w:rPr>
        <w:t xml:space="preserve"> facilitate </w:t>
      </w:r>
      <w:r w:rsidR="0040438E" w:rsidRPr="0040438E">
        <w:rPr>
          <w:rFonts w:eastAsia="Times New Roman" w:cstheme="minorHAnsi"/>
          <w:sz w:val="24"/>
          <w:szCs w:val="24"/>
        </w:rPr>
        <w:t>understand</w:t>
      </w:r>
      <w:r w:rsidR="002D6533">
        <w:rPr>
          <w:rFonts w:eastAsia="Times New Roman" w:cstheme="minorHAnsi"/>
          <w:sz w:val="24"/>
          <w:szCs w:val="24"/>
        </w:rPr>
        <w:t>ing of</w:t>
      </w:r>
      <w:r w:rsidR="0040438E" w:rsidRPr="0040438E">
        <w:rPr>
          <w:rFonts w:eastAsia="Times New Roman" w:cstheme="minorHAnsi"/>
          <w:sz w:val="24"/>
          <w:szCs w:val="24"/>
        </w:rPr>
        <w:t xml:space="preserve"> what disability related barrier</w:t>
      </w:r>
      <w:r w:rsidR="00DB1921">
        <w:rPr>
          <w:rFonts w:eastAsia="Times New Roman" w:cstheme="minorHAnsi"/>
          <w:sz w:val="24"/>
          <w:szCs w:val="24"/>
        </w:rPr>
        <w:t>(</w:t>
      </w:r>
      <w:r w:rsidR="0040438E" w:rsidRPr="0040438E">
        <w:rPr>
          <w:rFonts w:eastAsia="Times New Roman" w:cstheme="minorHAnsi"/>
          <w:sz w:val="24"/>
          <w:szCs w:val="24"/>
        </w:rPr>
        <w:t>s</w:t>
      </w:r>
      <w:r w:rsidR="00DB1921">
        <w:rPr>
          <w:rFonts w:eastAsia="Times New Roman" w:cstheme="minorHAnsi"/>
          <w:sz w:val="24"/>
          <w:szCs w:val="24"/>
        </w:rPr>
        <w:t>)</w:t>
      </w:r>
      <w:r w:rsidR="0040438E" w:rsidRPr="0040438E">
        <w:rPr>
          <w:rFonts w:eastAsia="Times New Roman" w:cstheme="minorHAnsi"/>
          <w:sz w:val="24"/>
          <w:szCs w:val="24"/>
        </w:rPr>
        <w:t xml:space="preserve"> the individual is facing and how to remove th</w:t>
      </w:r>
      <w:r w:rsidR="00E07CD3">
        <w:rPr>
          <w:rFonts w:eastAsia="Times New Roman" w:cstheme="minorHAnsi"/>
          <w:sz w:val="24"/>
          <w:szCs w:val="24"/>
        </w:rPr>
        <w:t>e</w:t>
      </w:r>
      <w:r w:rsidR="0040438E" w:rsidRPr="0040438E">
        <w:rPr>
          <w:rFonts w:eastAsia="Times New Roman" w:cstheme="minorHAnsi"/>
          <w:sz w:val="24"/>
          <w:szCs w:val="24"/>
        </w:rPr>
        <w:t xml:space="preserve"> barrier</w:t>
      </w:r>
      <w:r w:rsidR="00DB1921">
        <w:rPr>
          <w:rFonts w:eastAsia="Times New Roman" w:cstheme="minorHAnsi"/>
          <w:sz w:val="24"/>
          <w:szCs w:val="24"/>
        </w:rPr>
        <w:t>(</w:t>
      </w:r>
      <w:r w:rsidR="0040438E" w:rsidRPr="0040438E">
        <w:rPr>
          <w:rFonts w:eastAsia="Times New Roman" w:cstheme="minorHAnsi"/>
          <w:sz w:val="24"/>
          <w:szCs w:val="24"/>
        </w:rPr>
        <w:t>s</w:t>
      </w:r>
      <w:r w:rsidR="00DB1921">
        <w:rPr>
          <w:rFonts w:eastAsia="Times New Roman" w:cstheme="minorHAnsi"/>
          <w:sz w:val="24"/>
          <w:szCs w:val="24"/>
        </w:rPr>
        <w:t>)</w:t>
      </w:r>
      <w:r w:rsidR="002D6533">
        <w:rPr>
          <w:rFonts w:eastAsia="Times New Roman" w:cstheme="minorHAnsi"/>
          <w:sz w:val="24"/>
          <w:szCs w:val="24"/>
        </w:rPr>
        <w:t>. Solutions</w:t>
      </w:r>
      <w:r w:rsidR="004B62AD">
        <w:rPr>
          <w:rFonts w:eastAsia="Times New Roman" w:cstheme="minorHAnsi"/>
          <w:sz w:val="24"/>
          <w:szCs w:val="24"/>
        </w:rPr>
        <w:t xml:space="preserve"> </w:t>
      </w:r>
      <w:r w:rsidR="00BD2C82">
        <w:rPr>
          <w:rFonts w:eastAsia="Times New Roman" w:cstheme="minorHAnsi"/>
          <w:sz w:val="24"/>
          <w:szCs w:val="24"/>
        </w:rPr>
        <w:t xml:space="preserve">involving an accommodation/modification </w:t>
      </w:r>
      <w:r w:rsidR="004B62AD">
        <w:rPr>
          <w:rFonts w:eastAsia="Times New Roman" w:cstheme="minorHAnsi"/>
          <w:sz w:val="24"/>
          <w:szCs w:val="24"/>
        </w:rPr>
        <w:t>to remove the barrier</w:t>
      </w:r>
      <w:r w:rsidR="00DB1921">
        <w:rPr>
          <w:rFonts w:eastAsia="Times New Roman" w:cstheme="minorHAnsi"/>
          <w:sz w:val="24"/>
          <w:szCs w:val="24"/>
        </w:rPr>
        <w:t>(</w:t>
      </w:r>
      <w:r w:rsidR="004B62AD">
        <w:rPr>
          <w:rFonts w:eastAsia="Times New Roman" w:cstheme="minorHAnsi"/>
          <w:sz w:val="24"/>
          <w:szCs w:val="24"/>
        </w:rPr>
        <w:t>s</w:t>
      </w:r>
      <w:r w:rsidR="00DB1921">
        <w:rPr>
          <w:rFonts w:eastAsia="Times New Roman" w:cstheme="minorHAnsi"/>
          <w:sz w:val="24"/>
          <w:szCs w:val="24"/>
        </w:rPr>
        <w:t>)</w:t>
      </w:r>
      <w:r w:rsidR="002D6533">
        <w:rPr>
          <w:rFonts w:eastAsia="Times New Roman" w:cstheme="minorHAnsi"/>
          <w:sz w:val="24"/>
          <w:szCs w:val="24"/>
        </w:rPr>
        <w:t xml:space="preserve"> should enable the person</w:t>
      </w:r>
      <w:r w:rsidR="004B62AD">
        <w:rPr>
          <w:rFonts w:eastAsia="Times New Roman" w:cstheme="minorHAnsi"/>
          <w:sz w:val="24"/>
          <w:szCs w:val="24"/>
        </w:rPr>
        <w:t>, as much as possible,</w:t>
      </w:r>
      <w:r w:rsidR="002D6533">
        <w:rPr>
          <w:rFonts w:eastAsia="Times New Roman" w:cstheme="minorHAnsi"/>
          <w:sz w:val="24"/>
          <w:szCs w:val="24"/>
        </w:rPr>
        <w:t xml:space="preserve"> to </w:t>
      </w:r>
      <w:r w:rsidR="0040438E" w:rsidRPr="0040438E">
        <w:rPr>
          <w:rFonts w:eastAsia="Times New Roman" w:cstheme="minorHAnsi"/>
          <w:sz w:val="24"/>
          <w:szCs w:val="24"/>
        </w:rPr>
        <w:t>fully participate in the program</w:t>
      </w:r>
      <w:r w:rsidR="004B62AD">
        <w:rPr>
          <w:rFonts w:eastAsia="Times New Roman" w:cstheme="minorHAnsi"/>
          <w:sz w:val="24"/>
          <w:szCs w:val="24"/>
        </w:rPr>
        <w:t xml:space="preserve"> or </w:t>
      </w:r>
      <w:r w:rsidR="0040438E" w:rsidRPr="0040438E">
        <w:rPr>
          <w:rFonts w:eastAsia="Times New Roman" w:cstheme="minorHAnsi"/>
          <w:sz w:val="24"/>
          <w:szCs w:val="24"/>
        </w:rPr>
        <w:t xml:space="preserve">service. </w:t>
      </w:r>
      <w:r w:rsidRPr="00F405F9">
        <w:rPr>
          <w:rFonts w:eastAsia="Times New Roman" w:cstheme="minorHAnsi"/>
          <w:sz w:val="24"/>
          <w:szCs w:val="24"/>
        </w:rPr>
        <w:t xml:space="preserve"> </w:t>
      </w:r>
    </w:p>
    <w:p w14:paraId="0E468ACD" w14:textId="77777777" w:rsidR="0040438E" w:rsidRPr="00FE76DA" w:rsidRDefault="0040438E" w:rsidP="001D2933">
      <w:pPr>
        <w:spacing w:after="0" w:line="276" w:lineRule="auto"/>
        <w:rPr>
          <w:rFonts w:eastAsia="Times New Roman" w:cstheme="minorHAnsi"/>
          <w:sz w:val="18"/>
          <w:szCs w:val="18"/>
        </w:rPr>
      </w:pPr>
    </w:p>
    <w:p w14:paraId="43479A16" w14:textId="77777777" w:rsidR="0040438E" w:rsidRPr="0040438E" w:rsidRDefault="0040438E" w:rsidP="001D2933">
      <w:pPr>
        <w:spacing w:after="0" w:line="276" w:lineRule="auto"/>
        <w:rPr>
          <w:rFonts w:eastAsia="Times New Roman" w:cstheme="minorHAnsi"/>
          <w:b/>
          <w:sz w:val="24"/>
          <w:szCs w:val="24"/>
        </w:rPr>
      </w:pPr>
      <w:r w:rsidRPr="0040438E">
        <w:rPr>
          <w:rFonts w:eastAsia="Times New Roman" w:cstheme="minorHAnsi"/>
          <w:b/>
          <w:sz w:val="24"/>
          <w:szCs w:val="24"/>
        </w:rPr>
        <w:t>Triggering the Interactive Process</w:t>
      </w:r>
    </w:p>
    <w:p w14:paraId="2CEF2000" w14:textId="77777777" w:rsidR="0040438E" w:rsidRDefault="0040438E" w:rsidP="001D2933">
      <w:pPr>
        <w:spacing w:after="0" w:line="276" w:lineRule="auto"/>
        <w:rPr>
          <w:rFonts w:eastAsia="Times New Roman" w:cstheme="minorHAnsi"/>
          <w:sz w:val="24"/>
          <w:szCs w:val="24"/>
        </w:rPr>
      </w:pPr>
      <w:r>
        <w:rPr>
          <w:rFonts w:eastAsia="Times New Roman" w:cstheme="minorHAnsi"/>
          <w:sz w:val="24"/>
          <w:szCs w:val="24"/>
        </w:rPr>
        <w:t>All the customer</w:t>
      </w:r>
      <w:r w:rsidR="00DB1921">
        <w:rPr>
          <w:rFonts w:eastAsia="Times New Roman" w:cstheme="minorHAnsi"/>
          <w:sz w:val="24"/>
          <w:szCs w:val="24"/>
        </w:rPr>
        <w:t xml:space="preserve"> </w:t>
      </w:r>
      <w:r>
        <w:rPr>
          <w:rFonts w:eastAsia="Times New Roman" w:cstheme="minorHAnsi"/>
          <w:sz w:val="24"/>
          <w:szCs w:val="24"/>
        </w:rPr>
        <w:t>has to do is indicate i</w:t>
      </w:r>
      <w:r w:rsidR="004323AA">
        <w:rPr>
          <w:rFonts w:eastAsia="Times New Roman" w:cstheme="minorHAnsi"/>
          <w:sz w:val="24"/>
          <w:szCs w:val="24"/>
        </w:rPr>
        <w:t>n</w:t>
      </w:r>
      <w:r>
        <w:rPr>
          <w:rFonts w:eastAsia="Times New Roman" w:cstheme="minorHAnsi"/>
          <w:sz w:val="24"/>
          <w:szCs w:val="24"/>
        </w:rPr>
        <w:t xml:space="preserve"> some</w:t>
      </w:r>
      <w:r w:rsidR="004323AA">
        <w:rPr>
          <w:rFonts w:eastAsia="Times New Roman" w:cstheme="minorHAnsi"/>
          <w:sz w:val="24"/>
          <w:szCs w:val="24"/>
        </w:rPr>
        <w:t xml:space="preserve"> manner</w:t>
      </w:r>
      <w:r>
        <w:rPr>
          <w:rFonts w:eastAsia="Times New Roman" w:cstheme="minorHAnsi"/>
          <w:sz w:val="24"/>
          <w:szCs w:val="24"/>
        </w:rPr>
        <w:t xml:space="preserve"> </w:t>
      </w:r>
      <w:r w:rsidR="004B62AD">
        <w:rPr>
          <w:rFonts w:eastAsia="Times New Roman" w:cstheme="minorHAnsi"/>
          <w:sz w:val="24"/>
          <w:szCs w:val="24"/>
        </w:rPr>
        <w:t xml:space="preserve">(no specific wording is required) </w:t>
      </w:r>
      <w:r>
        <w:rPr>
          <w:rFonts w:eastAsia="Times New Roman" w:cstheme="minorHAnsi"/>
          <w:sz w:val="24"/>
          <w:szCs w:val="24"/>
        </w:rPr>
        <w:t xml:space="preserve">that they </w:t>
      </w:r>
      <w:r w:rsidR="004B62AD">
        <w:rPr>
          <w:rFonts w:eastAsia="Times New Roman" w:cstheme="minorHAnsi"/>
          <w:sz w:val="24"/>
          <w:szCs w:val="24"/>
        </w:rPr>
        <w:t>may or are</w:t>
      </w:r>
      <w:r>
        <w:rPr>
          <w:rFonts w:eastAsia="Times New Roman" w:cstheme="minorHAnsi"/>
          <w:sz w:val="24"/>
          <w:szCs w:val="24"/>
        </w:rPr>
        <w:t xml:space="preserve"> </w:t>
      </w:r>
      <w:r w:rsidR="004B62AD">
        <w:rPr>
          <w:rFonts w:eastAsia="Times New Roman" w:cstheme="minorHAnsi"/>
          <w:sz w:val="24"/>
          <w:szCs w:val="24"/>
        </w:rPr>
        <w:t>experiencing</w:t>
      </w:r>
      <w:r>
        <w:rPr>
          <w:rFonts w:eastAsia="Times New Roman" w:cstheme="minorHAnsi"/>
          <w:sz w:val="24"/>
          <w:szCs w:val="24"/>
        </w:rPr>
        <w:t xml:space="preserve"> </w:t>
      </w:r>
      <w:r w:rsidR="004B62AD">
        <w:rPr>
          <w:rFonts w:eastAsia="Times New Roman" w:cstheme="minorHAnsi"/>
          <w:sz w:val="24"/>
          <w:szCs w:val="24"/>
        </w:rPr>
        <w:t xml:space="preserve">disability related </w:t>
      </w:r>
      <w:r>
        <w:rPr>
          <w:rFonts w:eastAsia="Times New Roman" w:cstheme="minorHAnsi"/>
          <w:sz w:val="24"/>
          <w:szCs w:val="24"/>
        </w:rPr>
        <w:t xml:space="preserve">difficulties </w:t>
      </w:r>
      <w:r w:rsidR="004B62AD">
        <w:rPr>
          <w:rFonts w:eastAsia="Times New Roman" w:cstheme="minorHAnsi"/>
          <w:sz w:val="24"/>
          <w:szCs w:val="24"/>
        </w:rPr>
        <w:t xml:space="preserve">in </w:t>
      </w:r>
      <w:r>
        <w:rPr>
          <w:rFonts w:eastAsia="Times New Roman" w:cstheme="minorHAnsi"/>
          <w:sz w:val="24"/>
          <w:szCs w:val="24"/>
        </w:rPr>
        <w:t>participat</w:t>
      </w:r>
      <w:r w:rsidR="004B62AD">
        <w:rPr>
          <w:rFonts w:eastAsia="Times New Roman" w:cstheme="minorHAnsi"/>
          <w:sz w:val="24"/>
          <w:szCs w:val="24"/>
        </w:rPr>
        <w:t>ing in the program or service.</w:t>
      </w:r>
      <w:r w:rsidR="00CF64FB">
        <w:rPr>
          <w:rFonts w:eastAsia="Times New Roman" w:cstheme="minorHAnsi"/>
          <w:sz w:val="24"/>
          <w:szCs w:val="24"/>
        </w:rPr>
        <w:t xml:space="preserve"> The request triggers the interactive process.</w:t>
      </w:r>
      <w:r>
        <w:rPr>
          <w:rFonts w:eastAsia="Times New Roman" w:cstheme="minorHAnsi"/>
          <w:sz w:val="24"/>
          <w:szCs w:val="24"/>
        </w:rPr>
        <w:t xml:space="preserve"> </w:t>
      </w:r>
      <w:r w:rsidR="00DB1921">
        <w:rPr>
          <w:rFonts w:eastAsia="Times New Roman" w:cstheme="minorHAnsi"/>
          <w:sz w:val="24"/>
          <w:szCs w:val="24"/>
        </w:rPr>
        <w:t>A third part</w:t>
      </w:r>
      <w:r w:rsidR="001268EE">
        <w:rPr>
          <w:rFonts w:eastAsia="Times New Roman" w:cstheme="minorHAnsi"/>
          <w:sz w:val="24"/>
          <w:szCs w:val="24"/>
        </w:rPr>
        <w:t>y</w:t>
      </w:r>
      <w:r w:rsidR="00DB1921">
        <w:rPr>
          <w:rFonts w:eastAsia="Times New Roman" w:cstheme="minorHAnsi"/>
          <w:sz w:val="24"/>
          <w:szCs w:val="24"/>
        </w:rPr>
        <w:t xml:space="preserve"> can ask on behalf of the individual</w:t>
      </w:r>
      <w:r w:rsidR="00CF64FB">
        <w:rPr>
          <w:rFonts w:eastAsia="Times New Roman" w:cstheme="minorHAnsi"/>
          <w:sz w:val="24"/>
          <w:szCs w:val="24"/>
        </w:rPr>
        <w:t>,</w:t>
      </w:r>
      <w:r w:rsidR="00DB1921">
        <w:rPr>
          <w:rFonts w:eastAsia="Times New Roman" w:cstheme="minorHAnsi"/>
          <w:sz w:val="24"/>
          <w:szCs w:val="24"/>
        </w:rPr>
        <w:t xml:space="preserve"> but the entity should include the individual in the interactive process as much as possible. </w:t>
      </w:r>
    </w:p>
    <w:p w14:paraId="6CAB69F4" w14:textId="77777777" w:rsidR="0040438E" w:rsidRPr="00FE76DA" w:rsidRDefault="0040438E" w:rsidP="001D2933">
      <w:pPr>
        <w:spacing w:after="0" w:line="276" w:lineRule="auto"/>
        <w:rPr>
          <w:rFonts w:eastAsia="Times New Roman" w:cstheme="minorHAnsi"/>
          <w:sz w:val="18"/>
          <w:szCs w:val="18"/>
        </w:rPr>
      </w:pPr>
    </w:p>
    <w:p w14:paraId="070C9A33" w14:textId="77777777" w:rsidR="00BD2C82" w:rsidRPr="00BD2C82" w:rsidRDefault="00400264" w:rsidP="001D2933">
      <w:pPr>
        <w:spacing w:after="0" w:line="276" w:lineRule="auto"/>
        <w:rPr>
          <w:rFonts w:eastAsia="Times New Roman" w:cstheme="minorHAnsi"/>
          <w:b/>
          <w:sz w:val="24"/>
          <w:szCs w:val="24"/>
        </w:rPr>
      </w:pPr>
      <w:r>
        <w:rPr>
          <w:rFonts w:eastAsia="Times New Roman" w:cstheme="minorHAnsi"/>
          <w:b/>
          <w:sz w:val="24"/>
          <w:szCs w:val="24"/>
        </w:rPr>
        <w:t xml:space="preserve">Consequence of </w:t>
      </w:r>
      <w:r w:rsidR="00BD2C82" w:rsidRPr="00BD2C82">
        <w:rPr>
          <w:rFonts w:eastAsia="Times New Roman" w:cstheme="minorHAnsi"/>
          <w:b/>
          <w:sz w:val="24"/>
          <w:szCs w:val="24"/>
        </w:rPr>
        <w:t xml:space="preserve">Not Participating </w:t>
      </w:r>
      <w:r w:rsidR="00E07CD3">
        <w:rPr>
          <w:rFonts w:eastAsia="Times New Roman" w:cstheme="minorHAnsi"/>
          <w:b/>
          <w:sz w:val="24"/>
          <w:szCs w:val="24"/>
        </w:rPr>
        <w:t>I</w:t>
      </w:r>
      <w:r w:rsidR="00BD2C82" w:rsidRPr="00BD2C82">
        <w:rPr>
          <w:rFonts w:eastAsia="Times New Roman" w:cstheme="minorHAnsi"/>
          <w:b/>
          <w:sz w:val="24"/>
          <w:szCs w:val="24"/>
        </w:rPr>
        <w:t>n the Interactive Process</w:t>
      </w:r>
    </w:p>
    <w:p w14:paraId="09844104" w14:textId="77777777" w:rsidR="00F405F9" w:rsidRPr="00F405F9" w:rsidRDefault="00DC26E6" w:rsidP="001D2933">
      <w:pPr>
        <w:spacing w:after="0" w:line="276" w:lineRule="auto"/>
        <w:rPr>
          <w:rFonts w:eastAsia="Times New Roman" w:cstheme="minorHAnsi"/>
          <w:sz w:val="24"/>
          <w:szCs w:val="24"/>
        </w:rPr>
      </w:pPr>
      <w:r>
        <w:rPr>
          <w:rFonts w:eastAsia="Times New Roman" w:cstheme="minorHAnsi"/>
          <w:sz w:val="24"/>
          <w:szCs w:val="24"/>
        </w:rPr>
        <w:t>The party who</w:t>
      </w:r>
      <w:r w:rsidR="00F405F9" w:rsidRPr="00F405F9">
        <w:rPr>
          <w:rFonts w:eastAsia="Times New Roman" w:cstheme="minorHAnsi"/>
          <w:sz w:val="24"/>
          <w:szCs w:val="24"/>
        </w:rPr>
        <w:t xml:space="preserve"> </w:t>
      </w:r>
      <w:r w:rsidR="00BD2C82">
        <w:rPr>
          <w:rFonts w:eastAsia="Times New Roman" w:cstheme="minorHAnsi"/>
          <w:sz w:val="24"/>
          <w:szCs w:val="24"/>
        </w:rPr>
        <w:t xml:space="preserve">refuses to participate in or impedes the interactive process </w:t>
      </w:r>
      <w:r w:rsidR="009740E2">
        <w:rPr>
          <w:rFonts w:eastAsia="Times New Roman" w:cstheme="minorHAnsi"/>
          <w:sz w:val="24"/>
          <w:szCs w:val="24"/>
        </w:rPr>
        <w:t xml:space="preserve">could be held </w:t>
      </w:r>
      <w:r w:rsidR="00B30636">
        <w:rPr>
          <w:rFonts w:eastAsia="Times New Roman" w:cstheme="minorHAnsi"/>
          <w:sz w:val="24"/>
          <w:szCs w:val="24"/>
        </w:rPr>
        <w:t>accountab</w:t>
      </w:r>
      <w:r>
        <w:rPr>
          <w:rFonts w:eastAsia="Times New Roman" w:cstheme="minorHAnsi"/>
          <w:sz w:val="24"/>
          <w:szCs w:val="24"/>
        </w:rPr>
        <w:t>l</w:t>
      </w:r>
      <w:r w:rsidR="00B30636">
        <w:rPr>
          <w:rFonts w:eastAsia="Times New Roman" w:cstheme="minorHAnsi"/>
          <w:sz w:val="24"/>
          <w:szCs w:val="24"/>
        </w:rPr>
        <w:t>e</w:t>
      </w:r>
      <w:r w:rsidR="00F405F9" w:rsidRPr="00F405F9">
        <w:rPr>
          <w:rFonts w:eastAsia="Times New Roman" w:cstheme="minorHAnsi"/>
          <w:sz w:val="24"/>
          <w:szCs w:val="24"/>
        </w:rPr>
        <w:t>.</w:t>
      </w:r>
      <w:r w:rsidR="00271656">
        <w:rPr>
          <w:rFonts w:eastAsia="Times New Roman" w:cstheme="minorHAnsi"/>
          <w:sz w:val="24"/>
          <w:szCs w:val="24"/>
        </w:rPr>
        <w:t xml:space="preserve"> </w:t>
      </w:r>
      <w:r w:rsidR="00271656" w:rsidRPr="00271656">
        <w:rPr>
          <w:rFonts w:eastAsia="Times New Roman" w:cstheme="minorHAnsi"/>
          <w:bCs/>
          <w:sz w:val="24"/>
          <w:szCs w:val="24"/>
        </w:rPr>
        <w:t>Courts often rule in favor of the party who tried to engage in this process in good faith</w:t>
      </w:r>
      <w:r w:rsidR="003A2C4D">
        <w:rPr>
          <w:rFonts w:eastAsia="Times New Roman" w:cstheme="minorHAnsi"/>
          <w:bCs/>
          <w:sz w:val="24"/>
          <w:szCs w:val="24"/>
        </w:rPr>
        <w:t xml:space="preserve"> </w:t>
      </w:r>
      <w:r w:rsidR="00271656" w:rsidRPr="00271656">
        <w:rPr>
          <w:rFonts w:eastAsia="Times New Roman" w:cstheme="minorHAnsi"/>
          <w:bCs/>
          <w:sz w:val="24"/>
          <w:szCs w:val="24"/>
        </w:rPr>
        <w:t>and against the party who did not.</w:t>
      </w:r>
    </w:p>
    <w:p w14:paraId="31BEE98E" w14:textId="77777777" w:rsidR="00BD2C82" w:rsidRPr="00FE76DA" w:rsidRDefault="00BD2C82" w:rsidP="001D2933">
      <w:pPr>
        <w:spacing w:after="0" w:line="276" w:lineRule="auto"/>
        <w:rPr>
          <w:rFonts w:eastAsia="Times New Roman" w:cstheme="minorHAnsi"/>
          <w:sz w:val="18"/>
          <w:szCs w:val="18"/>
        </w:rPr>
      </w:pPr>
    </w:p>
    <w:p w14:paraId="0412C1C9" w14:textId="77777777" w:rsidR="00BD2C82" w:rsidRPr="00BD2C82" w:rsidRDefault="00BD2C82" w:rsidP="001D2933">
      <w:pPr>
        <w:spacing w:after="0" w:line="276" w:lineRule="auto"/>
        <w:rPr>
          <w:rFonts w:eastAsia="Times New Roman" w:cstheme="minorHAnsi"/>
          <w:b/>
          <w:sz w:val="24"/>
          <w:szCs w:val="24"/>
        </w:rPr>
      </w:pPr>
      <w:r w:rsidRPr="00BD2C82">
        <w:rPr>
          <w:rFonts w:eastAsia="Times New Roman" w:cstheme="minorHAnsi"/>
          <w:b/>
          <w:sz w:val="24"/>
          <w:szCs w:val="24"/>
        </w:rPr>
        <w:t>Obtaining Documentation</w:t>
      </w:r>
    </w:p>
    <w:p w14:paraId="5EA0DD49" w14:textId="77777777" w:rsidR="00BD2C82" w:rsidRDefault="00124967" w:rsidP="001D2933">
      <w:pPr>
        <w:spacing w:after="0" w:line="276" w:lineRule="auto"/>
        <w:rPr>
          <w:rFonts w:eastAsia="Times New Roman" w:cstheme="minorHAnsi"/>
          <w:sz w:val="24"/>
          <w:szCs w:val="24"/>
        </w:rPr>
      </w:pPr>
      <w:r>
        <w:rPr>
          <w:rFonts w:eastAsia="Times New Roman" w:cstheme="minorHAnsi"/>
          <w:sz w:val="24"/>
          <w:szCs w:val="24"/>
        </w:rPr>
        <w:t xml:space="preserve">Depending on how </w:t>
      </w:r>
      <w:r w:rsidR="00BF1201">
        <w:rPr>
          <w:rFonts w:eastAsia="Times New Roman" w:cstheme="minorHAnsi"/>
          <w:sz w:val="24"/>
          <w:szCs w:val="24"/>
        </w:rPr>
        <w:t xml:space="preserve">complex, </w:t>
      </w:r>
      <w:r>
        <w:rPr>
          <w:rFonts w:eastAsia="Times New Roman" w:cstheme="minorHAnsi"/>
          <w:sz w:val="24"/>
          <w:szCs w:val="24"/>
        </w:rPr>
        <w:t>involved or extensive the service or program is</w:t>
      </w:r>
      <w:r w:rsidR="008B275D">
        <w:rPr>
          <w:rFonts w:eastAsia="Times New Roman" w:cstheme="minorHAnsi"/>
          <w:sz w:val="24"/>
          <w:szCs w:val="24"/>
        </w:rPr>
        <w:t>,</w:t>
      </w:r>
      <w:r>
        <w:rPr>
          <w:rFonts w:eastAsia="Times New Roman" w:cstheme="minorHAnsi"/>
          <w:sz w:val="24"/>
          <w:szCs w:val="24"/>
        </w:rPr>
        <w:t xml:space="preserve"> t</w:t>
      </w:r>
      <w:r w:rsidR="00BD2C82">
        <w:rPr>
          <w:rFonts w:eastAsia="Times New Roman" w:cstheme="minorHAnsi"/>
          <w:sz w:val="24"/>
          <w:szCs w:val="24"/>
        </w:rPr>
        <w:t xml:space="preserve">he entity is allowed to </w:t>
      </w:r>
      <w:r w:rsidR="00F405F9" w:rsidRPr="00F405F9">
        <w:rPr>
          <w:rFonts w:eastAsia="Times New Roman" w:cstheme="minorHAnsi"/>
          <w:sz w:val="24"/>
          <w:szCs w:val="24"/>
        </w:rPr>
        <w:t xml:space="preserve">obtain a </w:t>
      </w:r>
      <w:r w:rsidR="00F405F9" w:rsidRPr="00F405F9">
        <w:rPr>
          <w:rFonts w:eastAsia="Times New Roman" w:cstheme="minorHAnsi"/>
          <w:sz w:val="24"/>
          <w:szCs w:val="24"/>
          <w:u w:val="single"/>
        </w:rPr>
        <w:t>reasonable</w:t>
      </w:r>
      <w:r w:rsidR="00F405F9" w:rsidRPr="00F405F9">
        <w:rPr>
          <w:rFonts w:eastAsia="Times New Roman" w:cstheme="minorHAnsi"/>
          <w:sz w:val="24"/>
          <w:szCs w:val="24"/>
        </w:rPr>
        <w:t xml:space="preserve"> amount of documentation</w:t>
      </w:r>
      <w:r w:rsidR="00BD2C82">
        <w:rPr>
          <w:rFonts w:eastAsia="Times New Roman" w:cstheme="minorHAnsi"/>
          <w:sz w:val="24"/>
          <w:szCs w:val="24"/>
        </w:rPr>
        <w:t xml:space="preserve"> that must be directly related to</w:t>
      </w:r>
      <w:r w:rsidR="00F405F9" w:rsidRPr="00F405F9">
        <w:rPr>
          <w:rFonts w:eastAsia="Times New Roman" w:cstheme="minorHAnsi"/>
          <w:sz w:val="24"/>
          <w:szCs w:val="24"/>
        </w:rPr>
        <w:t xml:space="preserve"> justifying the request.</w:t>
      </w:r>
      <w:r w:rsidR="00BD2C82">
        <w:rPr>
          <w:rFonts w:eastAsia="Times New Roman" w:cstheme="minorHAnsi"/>
          <w:sz w:val="24"/>
          <w:szCs w:val="24"/>
        </w:rPr>
        <w:t xml:space="preserve"> Don’t ask for unrelated medical/disability documentation.</w:t>
      </w:r>
    </w:p>
    <w:p w14:paraId="5C562C3C" w14:textId="77777777" w:rsidR="00BD2C82" w:rsidRPr="00FE76DA" w:rsidRDefault="00BD2C82" w:rsidP="001D2933">
      <w:pPr>
        <w:spacing w:after="0" w:line="276" w:lineRule="auto"/>
        <w:rPr>
          <w:rFonts w:eastAsia="Times New Roman" w:cstheme="minorHAnsi"/>
          <w:sz w:val="18"/>
          <w:szCs w:val="18"/>
        </w:rPr>
      </w:pPr>
    </w:p>
    <w:p w14:paraId="70EBD728" w14:textId="77777777" w:rsidR="00124967" w:rsidRDefault="008B275D" w:rsidP="001D2933">
      <w:pPr>
        <w:spacing w:after="0" w:line="276" w:lineRule="auto"/>
        <w:rPr>
          <w:rFonts w:eastAsia="Times New Roman" w:cstheme="minorHAnsi"/>
          <w:sz w:val="24"/>
          <w:szCs w:val="24"/>
        </w:rPr>
      </w:pPr>
      <w:r w:rsidRPr="00231E79">
        <w:rPr>
          <w:rFonts w:eastAsia="Times New Roman" w:cstheme="minorHAnsi"/>
          <w:b/>
          <w:sz w:val="24"/>
          <w:szCs w:val="24"/>
        </w:rPr>
        <w:t>NOTE:</w:t>
      </w:r>
      <w:r w:rsidRPr="00231E79">
        <w:rPr>
          <w:rFonts w:eastAsia="Times New Roman" w:cstheme="minorHAnsi"/>
          <w:sz w:val="24"/>
          <w:szCs w:val="24"/>
        </w:rPr>
        <w:t xml:space="preserve"> </w:t>
      </w:r>
      <w:r w:rsidR="00231E79">
        <w:rPr>
          <w:rFonts w:eastAsia="Times New Roman" w:cstheme="minorHAnsi"/>
          <w:sz w:val="24"/>
          <w:szCs w:val="24"/>
        </w:rPr>
        <w:t>T</w:t>
      </w:r>
      <w:r w:rsidRPr="00231E79">
        <w:rPr>
          <w:rFonts w:eastAsia="Times New Roman" w:cstheme="minorHAnsi"/>
          <w:sz w:val="24"/>
          <w:szCs w:val="24"/>
        </w:rPr>
        <w:t xml:space="preserve">he interactive process does not </w:t>
      </w:r>
      <w:r w:rsidR="00231E79">
        <w:rPr>
          <w:rFonts w:eastAsia="Times New Roman" w:cstheme="minorHAnsi"/>
          <w:sz w:val="24"/>
          <w:szCs w:val="24"/>
        </w:rPr>
        <w:t>pertain</w:t>
      </w:r>
      <w:r w:rsidRPr="00231E79">
        <w:rPr>
          <w:rFonts w:eastAsia="Times New Roman" w:cstheme="minorHAnsi"/>
          <w:sz w:val="24"/>
          <w:szCs w:val="24"/>
        </w:rPr>
        <w:t xml:space="preserve"> </w:t>
      </w:r>
      <w:r w:rsidR="00B836D6">
        <w:rPr>
          <w:rFonts w:eastAsia="Times New Roman" w:cstheme="minorHAnsi"/>
          <w:sz w:val="24"/>
          <w:szCs w:val="24"/>
        </w:rPr>
        <w:t>in</w:t>
      </w:r>
      <w:r w:rsidRPr="00231E79">
        <w:rPr>
          <w:rFonts w:eastAsia="Times New Roman" w:cstheme="minorHAnsi"/>
          <w:sz w:val="24"/>
          <w:szCs w:val="24"/>
        </w:rPr>
        <w:t xml:space="preserve"> deciding i</w:t>
      </w:r>
      <w:r w:rsidR="00231E79">
        <w:rPr>
          <w:rFonts w:eastAsia="Times New Roman" w:cstheme="minorHAnsi"/>
          <w:sz w:val="24"/>
          <w:szCs w:val="24"/>
        </w:rPr>
        <w:t>f</w:t>
      </w:r>
      <w:r w:rsidRPr="00231E79">
        <w:rPr>
          <w:rFonts w:eastAsia="Times New Roman" w:cstheme="minorHAnsi"/>
          <w:sz w:val="24"/>
          <w:szCs w:val="24"/>
        </w:rPr>
        <w:t xml:space="preserve"> a</w:t>
      </w:r>
      <w:r w:rsidR="00231E79">
        <w:rPr>
          <w:rFonts w:eastAsia="Times New Roman" w:cstheme="minorHAnsi"/>
          <w:sz w:val="24"/>
          <w:szCs w:val="24"/>
        </w:rPr>
        <w:t>n</w:t>
      </w:r>
      <w:r w:rsidRPr="00231E79">
        <w:rPr>
          <w:rFonts w:eastAsia="Times New Roman" w:cstheme="minorHAnsi"/>
          <w:sz w:val="24"/>
          <w:szCs w:val="24"/>
        </w:rPr>
        <w:t xml:space="preserve"> </w:t>
      </w:r>
      <w:r w:rsidRPr="00CF64FB">
        <w:rPr>
          <w:rFonts w:eastAsia="Times New Roman" w:cstheme="minorHAnsi"/>
          <w:b/>
          <w:sz w:val="24"/>
          <w:szCs w:val="24"/>
        </w:rPr>
        <w:t>ADA define service animal</w:t>
      </w:r>
      <w:r w:rsidRPr="00231E79">
        <w:rPr>
          <w:rFonts w:eastAsia="Times New Roman" w:cstheme="minorHAnsi"/>
          <w:sz w:val="24"/>
          <w:szCs w:val="24"/>
        </w:rPr>
        <w:t xml:space="preserve"> should be allowed.</w:t>
      </w:r>
      <w:r w:rsidR="00231E79">
        <w:rPr>
          <w:rFonts w:eastAsia="Times New Roman" w:cstheme="minorHAnsi"/>
          <w:sz w:val="24"/>
          <w:szCs w:val="24"/>
        </w:rPr>
        <w:t xml:space="preserve"> Under the Department of Justice’s (DOJ) ADA regulations these service animals are allowed to go anywhere the handler is allowed to go</w:t>
      </w:r>
      <w:r w:rsidR="00784056">
        <w:rPr>
          <w:rFonts w:eastAsia="Times New Roman" w:cstheme="minorHAnsi"/>
          <w:sz w:val="24"/>
          <w:szCs w:val="24"/>
        </w:rPr>
        <w:t xml:space="preserve"> pending a few narrow exceptions</w:t>
      </w:r>
      <w:r w:rsidR="00231E79">
        <w:rPr>
          <w:rFonts w:eastAsia="Times New Roman" w:cstheme="minorHAnsi"/>
          <w:sz w:val="24"/>
          <w:szCs w:val="24"/>
        </w:rPr>
        <w:t xml:space="preserve">. For more information go to the DOJ’s ADA website at </w:t>
      </w:r>
      <w:hyperlink r:id="rId9" w:history="1">
        <w:r w:rsidR="00231E79" w:rsidRPr="00C0486A">
          <w:rPr>
            <w:rStyle w:val="Hyperlink"/>
            <w:rFonts w:eastAsia="Times New Roman" w:cstheme="minorHAnsi"/>
            <w:sz w:val="24"/>
            <w:szCs w:val="24"/>
          </w:rPr>
          <w:t>www.ada.gov</w:t>
        </w:r>
      </w:hyperlink>
      <w:r w:rsidR="00231E79">
        <w:rPr>
          <w:rFonts w:eastAsia="Times New Roman" w:cstheme="minorHAnsi"/>
          <w:sz w:val="24"/>
          <w:szCs w:val="24"/>
        </w:rPr>
        <w:t xml:space="preserve">. </w:t>
      </w:r>
    </w:p>
    <w:p w14:paraId="22A9FFCF" w14:textId="77777777" w:rsidR="00E07CD3" w:rsidRDefault="00124967" w:rsidP="00E07CD3">
      <w:pPr>
        <w:spacing w:after="0" w:line="276" w:lineRule="auto"/>
        <w:jc w:val="center"/>
        <w:outlineLvl w:val="0"/>
        <w:rPr>
          <w:rFonts w:eastAsia="Times New Roman" w:cstheme="minorHAnsi"/>
          <w:bCs/>
          <w:color w:val="1C1C1C"/>
          <w:kern w:val="36"/>
          <w:sz w:val="24"/>
          <w:szCs w:val="24"/>
        </w:rPr>
      </w:pPr>
      <w:r w:rsidRPr="00124967">
        <w:rPr>
          <w:rFonts w:eastAsia="Times New Roman" w:cstheme="minorHAnsi"/>
          <w:bCs/>
          <w:color w:val="1C1C1C"/>
          <w:kern w:val="36"/>
          <w:sz w:val="24"/>
          <w:szCs w:val="24"/>
        </w:rPr>
        <w:lastRenderedPageBreak/>
        <w:t>The following excerpt is from William Goren’s April 4,</w:t>
      </w:r>
      <w:r w:rsidRPr="00124967">
        <w:rPr>
          <w:rFonts w:eastAsia="Times New Roman" w:cstheme="minorHAnsi"/>
          <w:b/>
          <w:bCs/>
          <w:color w:val="1C1C1C"/>
          <w:kern w:val="36"/>
          <w:sz w:val="24"/>
          <w:szCs w:val="24"/>
        </w:rPr>
        <w:t xml:space="preserve"> </w:t>
      </w:r>
      <w:r w:rsidRPr="008B275D">
        <w:rPr>
          <w:rFonts w:eastAsia="Times New Roman" w:cstheme="minorHAnsi"/>
          <w:bCs/>
          <w:color w:val="1C1C1C"/>
          <w:kern w:val="36"/>
          <w:sz w:val="24"/>
          <w:szCs w:val="24"/>
        </w:rPr>
        <w:t>2019 Blog</w:t>
      </w:r>
    </w:p>
    <w:p w14:paraId="6EC77FCA" w14:textId="77777777" w:rsidR="00E07CD3" w:rsidRDefault="00124967" w:rsidP="00E07CD3">
      <w:pPr>
        <w:spacing w:after="0" w:line="276" w:lineRule="auto"/>
        <w:jc w:val="center"/>
        <w:outlineLvl w:val="0"/>
        <w:rPr>
          <w:rFonts w:eastAsia="Times New Roman" w:cstheme="minorHAnsi"/>
          <w:bCs/>
          <w:color w:val="1C1C1C"/>
          <w:kern w:val="36"/>
          <w:sz w:val="24"/>
          <w:szCs w:val="24"/>
        </w:rPr>
      </w:pPr>
      <w:r w:rsidRPr="00B05795">
        <w:rPr>
          <w:rFonts w:eastAsia="Times New Roman" w:cstheme="minorHAnsi"/>
          <w:bCs/>
          <w:color w:val="1C1C1C"/>
          <w:kern w:val="36"/>
          <w:sz w:val="24"/>
          <w:szCs w:val="24"/>
        </w:rPr>
        <w:t>“</w:t>
      </w:r>
      <w:r w:rsidRPr="00F405F9">
        <w:rPr>
          <w:rFonts w:eastAsia="Times New Roman" w:cstheme="minorHAnsi"/>
          <w:b/>
          <w:bCs/>
          <w:i/>
          <w:color w:val="1C1C1C"/>
          <w:kern w:val="36"/>
          <w:sz w:val="24"/>
          <w:szCs w:val="24"/>
        </w:rPr>
        <w:t>Do’s and Don’ts of the Interactive Process</w:t>
      </w:r>
      <w:r w:rsidRPr="00B05795">
        <w:rPr>
          <w:rFonts w:eastAsia="Times New Roman" w:cstheme="minorHAnsi"/>
          <w:bCs/>
          <w:color w:val="1C1C1C"/>
          <w:kern w:val="36"/>
          <w:sz w:val="24"/>
          <w:szCs w:val="24"/>
        </w:rPr>
        <w:t>”</w:t>
      </w:r>
    </w:p>
    <w:p w14:paraId="767E4F2E" w14:textId="77777777" w:rsidR="00124967" w:rsidRPr="00B05795" w:rsidRDefault="006A75A5" w:rsidP="00E07CD3">
      <w:pPr>
        <w:spacing w:after="0" w:line="276" w:lineRule="auto"/>
        <w:jc w:val="center"/>
        <w:outlineLvl w:val="0"/>
        <w:rPr>
          <w:rFonts w:eastAsia="Times New Roman" w:cstheme="minorHAnsi"/>
          <w:bCs/>
          <w:color w:val="1C1C1C"/>
          <w:kern w:val="36"/>
        </w:rPr>
      </w:pPr>
      <w:hyperlink r:id="rId10" w:history="1">
        <w:r w:rsidRPr="003E38FE">
          <w:rPr>
            <w:rStyle w:val="Hyperlink"/>
            <w:rFonts w:eastAsia="Times New Roman" w:cstheme="minorHAnsi"/>
            <w:bCs/>
            <w:kern w:val="36"/>
          </w:rPr>
          <w:t>www.williamgoren.com/blog/2019/04/04/dos-and-donts-interactive-process/</w:t>
        </w:r>
      </w:hyperlink>
    </w:p>
    <w:p w14:paraId="66B0A001" w14:textId="77777777" w:rsidR="00124967" w:rsidRPr="001C0C1F" w:rsidRDefault="00124967" w:rsidP="001D2933">
      <w:pPr>
        <w:spacing w:after="0" w:line="276" w:lineRule="auto"/>
        <w:rPr>
          <w:rFonts w:eastAsia="Times New Roman" w:cstheme="minorHAnsi"/>
          <w:sz w:val="18"/>
          <w:szCs w:val="18"/>
        </w:rPr>
      </w:pPr>
    </w:p>
    <w:p w14:paraId="20F72FCA" w14:textId="38634AA6" w:rsidR="00F405F9" w:rsidRPr="00F405F9" w:rsidRDefault="00F405F9" w:rsidP="00CF64FB">
      <w:pPr>
        <w:spacing w:after="0" w:line="276" w:lineRule="auto"/>
        <w:rPr>
          <w:rFonts w:eastAsia="Times New Roman" w:cstheme="minorHAnsi"/>
          <w:b/>
          <w:sz w:val="24"/>
          <w:szCs w:val="24"/>
        </w:rPr>
      </w:pPr>
      <w:r w:rsidRPr="00F405F9">
        <w:rPr>
          <w:rFonts w:eastAsia="Times New Roman" w:cstheme="minorHAnsi"/>
          <w:b/>
          <w:sz w:val="24"/>
          <w:szCs w:val="24"/>
        </w:rPr>
        <w:t>What</w:t>
      </w:r>
      <w:r w:rsidR="0087245E">
        <w:rPr>
          <w:rFonts w:eastAsia="Times New Roman" w:cstheme="minorHAnsi"/>
          <w:b/>
          <w:sz w:val="24"/>
          <w:szCs w:val="24"/>
        </w:rPr>
        <w:t xml:space="preserve"> NOT</w:t>
      </w:r>
      <w:r w:rsidRPr="00F405F9">
        <w:rPr>
          <w:rFonts w:eastAsia="Times New Roman" w:cstheme="minorHAnsi"/>
          <w:b/>
          <w:bCs/>
          <w:sz w:val="24"/>
          <w:szCs w:val="24"/>
        </w:rPr>
        <w:t xml:space="preserve"> </w:t>
      </w:r>
      <w:r w:rsidRPr="00F405F9">
        <w:rPr>
          <w:rFonts w:eastAsia="Times New Roman" w:cstheme="minorHAnsi"/>
          <w:b/>
          <w:sz w:val="24"/>
          <w:szCs w:val="24"/>
        </w:rPr>
        <w:t>to Do with the Interactive Process</w:t>
      </w:r>
    </w:p>
    <w:p w14:paraId="45F121AA" w14:textId="77777777" w:rsidR="00F405F9" w:rsidRPr="00F405F9" w:rsidRDefault="00F405F9" w:rsidP="00CF64FB">
      <w:pPr>
        <w:numPr>
          <w:ilvl w:val="0"/>
          <w:numId w:val="2"/>
        </w:numPr>
        <w:spacing w:after="0" w:line="276" w:lineRule="auto"/>
        <w:ind w:left="600"/>
        <w:rPr>
          <w:rFonts w:eastAsia="Times New Roman" w:cstheme="minorHAnsi"/>
          <w:sz w:val="24"/>
          <w:szCs w:val="24"/>
        </w:rPr>
      </w:pPr>
      <w:r w:rsidRPr="00F405F9">
        <w:rPr>
          <w:rFonts w:eastAsia="Times New Roman" w:cstheme="minorHAnsi"/>
          <w:sz w:val="24"/>
          <w:szCs w:val="24"/>
        </w:rPr>
        <w:t>Fail to act on a reasonable accommodation request unless it is explicit as magic words are not required.</w:t>
      </w:r>
    </w:p>
    <w:p w14:paraId="4EA542F6" w14:textId="77777777" w:rsidR="00F405F9" w:rsidRPr="00F405F9" w:rsidRDefault="00F405F9" w:rsidP="00CF64FB">
      <w:pPr>
        <w:numPr>
          <w:ilvl w:val="0"/>
          <w:numId w:val="2"/>
        </w:numPr>
        <w:spacing w:after="0" w:line="276" w:lineRule="auto"/>
        <w:ind w:left="600"/>
        <w:rPr>
          <w:rFonts w:eastAsia="Times New Roman" w:cstheme="minorHAnsi"/>
          <w:sz w:val="24"/>
          <w:szCs w:val="24"/>
        </w:rPr>
      </w:pPr>
      <w:r w:rsidRPr="00F405F9">
        <w:rPr>
          <w:rFonts w:eastAsia="Times New Roman" w:cstheme="minorHAnsi"/>
          <w:sz w:val="24"/>
          <w:szCs w:val="24"/>
        </w:rPr>
        <w:t>Once getting a reasonable accommodation request, immediately call a vendor or other third-party instead of talking to the person making the reasonable accommodation request.</w:t>
      </w:r>
    </w:p>
    <w:p w14:paraId="3506A6CB" w14:textId="77777777" w:rsidR="00F405F9" w:rsidRPr="00F405F9" w:rsidRDefault="00F405F9" w:rsidP="00CF64FB">
      <w:pPr>
        <w:numPr>
          <w:ilvl w:val="0"/>
          <w:numId w:val="2"/>
        </w:numPr>
        <w:spacing w:after="0" w:line="276" w:lineRule="auto"/>
        <w:ind w:left="600"/>
        <w:rPr>
          <w:rFonts w:eastAsia="Times New Roman" w:cstheme="minorHAnsi"/>
          <w:sz w:val="24"/>
          <w:szCs w:val="24"/>
        </w:rPr>
      </w:pPr>
      <w:r w:rsidRPr="00F405F9">
        <w:rPr>
          <w:rFonts w:eastAsia="Times New Roman" w:cstheme="minorHAnsi"/>
          <w:sz w:val="24"/>
          <w:szCs w:val="24"/>
        </w:rPr>
        <w:t>Make clear to the person with the disability that you don’t want to accommodate them but you have to.</w:t>
      </w:r>
    </w:p>
    <w:p w14:paraId="5B3981E7" w14:textId="77777777" w:rsidR="00F405F9" w:rsidRPr="00F405F9" w:rsidRDefault="00F405F9" w:rsidP="00CF64FB">
      <w:pPr>
        <w:numPr>
          <w:ilvl w:val="0"/>
          <w:numId w:val="2"/>
        </w:numPr>
        <w:spacing w:after="0" w:line="276" w:lineRule="auto"/>
        <w:ind w:left="600"/>
        <w:rPr>
          <w:rFonts w:eastAsia="Times New Roman" w:cstheme="minorHAnsi"/>
          <w:sz w:val="24"/>
          <w:szCs w:val="24"/>
        </w:rPr>
      </w:pPr>
      <w:r w:rsidRPr="00F405F9">
        <w:rPr>
          <w:rFonts w:eastAsia="Times New Roman" w:cstheme="minorHAnsi"/>
          <w:sz w:val="24"/>
          <w:szCs w:val="24"/>
        </w:rPr>
        <w:t>Make clear that the process will be adversarial and not collaborative.</w:t>
      </w:r>
    </w:p>
    <w:p w14:paraId="483951AF" w14:textId="77777777" w:rsidR="00F405F9" w:rsidRDefault="00F405F9" w:rsidP="00CF64FB">
      <w:pPr>
        <w:numPr>
          <w:ilvl w:val="0"/>
          <w:numId w:val="2"/>
        </w:numPr>
        <w:spacing w:after="0" w:line="276" w:lineRule="auto"/>
        <w:ind w:left="600"/>
        <w:rPr>
          <w:rFonts w:eastAsia="Times New Roman" w:cstheme="minorHAnsi"/>
          <w:sz w:val="24"/>
          <w:szCs w:val="24"/>
        </w:rPr>
      </w:pPr>
      <w:r w:rsidRPr="00F405F9">
        <w:rPr>
          <w:rFonts w:eastAsia="Times New Roman" w:cstheme="minorHAnsi"/>
          <w:sz w:val="24"/>
          <w:szCs w:val="24"/>
        </w:rPr>
        <w:t>Ignore suggestions from the person with the disability as to what works and/or make it clear that you don’t care what works as your organization is primary.</w:t>
      </w:r>
    </w:p>
    <w:p w14:paraId="59FF8D73" w14:textId="77777777" w:rsidR="00124967" w:rsidRPr="00F405F9" w:rsidRDefault="00124967" w:rsidP="00CF64FB">
      <w:pPr>
        <w:spacing w:after="0" w:line="276" w:lineRule="auto"/>
        <w:rPr>
          <w:rFonts w:eastAsia="Times New Roman" w:cstheme="minorHAnsi"/>
          <w:sz w:val="20"/>
          <w:szCs w:val="20"/>
        </w:rPr>
      </w:pPr>
    </w:p>
    <w:p w14:paraId="3BE25DAD" w14:textId="0626F03C" w:rsidR="00F405F9" w:rsidRPr="00F405F9" w:rsidRDefault="00F405F9" w:rsidP="00CF64FB">
      <w:pPr>
        <w:spacing w:after="0" w:line="276" w:lineRule="auto"/>
        <w:rPr>
          <w:rFonts w:eastAsia="Times New Roman" w:cstheme="minorHAnsi"/>
          <w:b/>
          <w:sz w:val="24"/>
          <w:szCs w:val="24"/>
        </w:rPr>
      </w:pPr>
      <w:r w:rsidRPr="00F405F9">
        <w:rPr>
          <w:rFonts w:eastAsia="Times New Roman" w:cstheme="minorHAnsi"/>
          <w:b/>
          <w:sz w:val="24"/>
          <w:szCs w:val="24"/>
        </w:rPr>
        <w:t>What</w:t>
      </w:r>
      <w:r w:rsidR="0087245E">
        <w:rPr>
          <w:rFonts w:eastAsia="Times New Roman" w:cstheme="minorHAnsi"/>
          <w:b/>
          <w:sz w:val="24"/>
          <w:szCs w:val="24"/>
        </w:rPr>
        <w:t xml:space="preserve"> TO DO </w:t>
      </w:r>
      <w:r w:rsidRPr="00F405F9">
        <w:rPr>
          <w:rFonts w:eastAsia="Times New Roman" w:cstheme="minorHAnsi"/>
          <w:b/>
          <w:sz w:val="24"/>
          <w:szCs w:val="24"/>
        </w:rPr>
        <w:t>with the Interactive Process</w:t>
      </w:r>
    </w:p>
    <w:p w14:paraId="76309B13" w14:textId="77777777" w:rsidR="00F405F9" w:rsidRPr="00F405F9" w:rsidRDefault="00F405F9" w:rsidP="00CF64FB">
      <w:pPr>
        <w:numPr>
          <w:ilvl w:val="0"/>
          <w:numId w:val="3"/>
        </w:numPr>
        <w:spacing w:after="0" w:line="276" w:lineRule="auto"/>
        <w:ind w:left="600"/>
        <w:rPr>
          <w:rFonts w:eastAsia="Times New Roman" w:cstheme="minorHAnsi"/>
          <w:sz w:val="24"/>
          <w:szCs w:val="24"/>
        </w:rPr>
      </w:pPr>
      <w:r w:rsidRPr="00F405F9">
        <w:rPr>
          <w:rFonts w:eastAsia="Times New Roman" w:cstheme="minorHAnsi"/>
          <w:sz w:val="24"/>
          <w:szCs w:val="24"/>
        </w:rPr>
        <w:t>Value the individual with a disability making the reasonable accommodation request as an individual.</w:t>
      </w:r>
    </w:p>
    <w:p w14:paraId="41BA10F4" w14:textId="77777777" w:rsidR="00F405F9" w:rsidRPr="00F405F9" w:rsidRDefault="00F405F9" w:rsidP="00CF64FB">
      <w:pPr>
        <w:numPr>
          <w:ilvl w:val="0"/>
          <w:numId w:val="3"/>
        </w:numPr>
        <w:spacing w:after="0" w:line="276" w:lineRule="auto"/>
        <w:ind w:left="600"/>
        <w:rPr>
          <w:rFonts w:eastAsia="Times New Roman" w:cstheme="minorHAnsi"/>
          <w:sz w:val="24"/>
          <w:szCs w:val="24"/>
        </w:rPr>
      </w:pPr>
      <w:r w:rsidRPr="00F405F9">
        <w:rPr>
          <w:rFonts w:eastAsia="Times New Roman" w:cstheme="minorHAnsi"/>
          <w:sz w:val="24"/>
          <w:szCs w:val="24"/>
        </w:rPr>
        <w:t>Make clear that you are interested in a collaborative and not adversarial process.</w:t>
      </w:r>
    </w:p>
    <w:p w14:paraId="1A292D98" w14:textId="77777777" w:rsidR="00F405F9" w:rsidRPr="00F405F9" w:rsidRDefault="00F405F9" w:rsidP="00CF64FB">
      <w:pPr>
        <w:numPr>
          <w:ilvl w:val="0"/>
          <w:numId w:val="3"/>
        </w:numPr>
        <w:spacing w:after="0" w:line="276" w:lineRule="auto"/>
        <w:ind w:left="600"/>
        <w:rPr>
          <w:rFonts w:eastAsia="Times New Roman" w:cstheme="minorHAnsi"/>
          <w:sz w:val="24"/>
          <w:szCs w:val="24"/>
        </w:rPr>
      </w:pPr>
      <w:r w:rsidRPr="00F405F9">
        <w:rPr>
          <w:rFonts w:eastAsia="Times New Roman" w:cstheme="minorHAnsi"/>
          <w:sz w:val="24"/>
          <w:szCs w:val="24"/>
        </w:rPr>
        <w:t xml:space="preserve">If you get stuck as to what might work, call the </w:t>
      </w:r>
      <w:hyperlink r:id="rId11" w:history="1">
        <w:r w:rsidRPr="00F405F9">
          <w:rPr>
            <w:rFonts w:eastAsia="Times New Roman" w:cstheme="minorHAnsi"/>
            <w:bCs/>
            <w:i/>
            <w:sz w:val="24"/>
            <w:szCs w:val="24"/>
          </w:rPr>
          <w:t>Job Accommodation Network</w:t>
        </w:r>
      </w:hyperlink>
      <w:r w:rsidRPr="00F405F9">
        <w:rPr>
          <w:rFonts w:eastAsia="Times New Roman" w:cstheme="minorHAnsi"/>
          <w:sz w:val="24"/>
          <w:szCs w:val="24"/>
        </w:rPr>
        <w:t>.</w:t>
      </w:r>
    </w:p>
    <w:p w14:paraId="38C6E89A" w14:textId="77777777" w:rsidR="00F405F9" w:rsidRPr="00F405F9" w:rsidRDefault="00F405F9" w:rsidP="00CF64FB">
      <w:pPr>
        <w:numPr>
          <w:ilvl w:val="0"/>
          <w:numId w:val="3"/>
        </w:numPr>
        <w:spacing w:after="0" w:line="276" w:lineRule="auto"/>
        <w:ind w:left="600"/>
        <w:rPr>
          <w:rFonts w:eastAsia="Times New Roman" w:cstheme="minorHAnsi"/>
          <w:sz w:val="24"/>
          <w:szCs w:val="24"/>
        </w:rPr>
      </w:pPr>
      <w:r w:rsidRPr="00F405F9">
        <w:rPr>
          <w:rFonts w:eastAsia="Times New Roman" w:cstheme="minorHAnsi"/>
          <w:sz w:val="24"/>
          <w:szCs w:val="24"/>
        </w:rPr>
        <w:t>Involve the person with a disability in the process immediately and keep him or her posted throughout.</w:t>
      </w:r>
    </w:p>
    <w:p w14:paraId="41D62141" w14:textId="77777777" w:rsidR="00F405F9" w:rsidRPr="00F405F9" w:rsidRDefault="00F405F9" w:rsidP="00CF64FB">
      <w:pPr>
        <w:numPr>
          <w:ilvl w:val="0"/>
          <w:numId w:val="3"/>
        </w:numPr>
        <w:spacing w:after="0" w:line="276" w:lineRule="auto"/>
        <w:ind w:left="600"/>
        <w:rPr>
          <w:rFonts w:eastAsia="Times New Roman" w:cstheme="minorHAnsi"/>
          <w:sz w:val="24"/>
          <w:szCs w:val="24"/>
        </w:rPr>
      </w:pPr>
      <w:r w:rsidRPr="00F405F9">
        <w:rPr>
          <w:rFonts w:eastAsia="Times New Roman" w:cstheme="minorHAnsi"/>
          <w:sz w:val="24"/>
          <w:szCs w:val="24"/>
        </w:rPr>
        <w:t>Remember you will have to make the accommodation unless you can show an undue hardship (title I), undue burden (title II, III), or fundamental alteration (title II, title III, and arguably title I), all of which, as readers of this blog already know, are terms of art and are not easy to show.</w:t>
      </w:r>
    </w:p>
    <w:p w14:paraId="4EC69520" w14:textId="77777777" w:rsidR="00F405F9" w:rsidRPr="00F405F9" w:rsidRDefault="00F405F9" w:rsidP="00CF64FB">
      <w:pPr>
        <w:numPr>
          <w:ilvl w:val="0"/>
          <w:numId w:val="3"/>
        </w:numPr>
        <w:spacing w:after="0" w:line="276" w:lineRule="auto"/>
        <w:ind w:left="600"/>
        <w:rPr>
          <w:rFonts w:eastAsia="Times New Roman" w:cstheme="minorHAnsi"/>
          <w:sz w:val="24"/>
          <w:szCs w:val="24"/>
        </w:rPr>
      </w:pPr>
      <w:r w:rsidRPr="00F405F9">
        <w:rPr>
          <w:rFonts w:eastAsia="Times New Roman" w:cstheme="minorHAnsi"/>
          <w:sz w:val="24"/>
          <w:szCs w:val="24"/>
        </w:rPr>
        <w:t>Remember, if effective communication is involved, the rule for title II (preferred communication to be given primary consideration by the governmental entity), and for title III (give-and-take of the interactive process with the place of public accommodation getting final call), of the ADA are different.</w:t>
      </w:r>
    </w:p>
    <w:p w14:paraId="3353D6A6" w14:textId="77777777" w:rsidR="00F405F9" w:rsidRDefault="00F405F9" w:rsidP="00CF64FB">
      <w:pPr>
        <w:numPr>
          <w:ilvl w:val="0"/>
          <w:numId w:val="3"/>
        </w:numPr>
        <w:spacing w:after="0" w:line="276" w:lineRule="auto"/>
        <w:ind w:left="600"/>
        <w:rPr>
          <w:rFonts w:eastAsia="Times New Roman" w:cstheme="minorHAnsi"/>
          <w:sz w:val="24"/>
          <w:szCs w:val="24"/>
        </w:rPr>
      </w:pPr>
      <w:r w:rsidRPr="00F405F9">
        <w:rPr>
          <w:rFonts w:eastAsia="Times New Roman" w:cstheme="minorHAnsi"/>
          <w:sz w:val="24"/>
          <w:szCs w:val="24"/>
        </w:rPr>
        <w:t>Remember, think of a reasonable accommodation/modification as whatever gets the person with a disability to the same starting line as someone without a disability.</w:t>
      </w:r>
    </w:p>
    <w:p w14:paraId="325E78F8" w14:textId="77777777" w:rsidR="001C0C1F" w:rsidRDefault="001C0C1F" w:rsidP="00CF64FB">
      <w:pPr>
        <w:spacing w:after="0" w:line="276" w:lineRule="auto"/>
        <w:rPr>
          <w:rFonts w:eastAsia="Times New Roman" w:cstheme="minorHAnsi"/>
          <w:b/>
          <w:sz w:val="24"/>
          <w:szCs w:val="24"/>
        </w:rPr>
      </w:pPr>
    </w:p>
    <w:p w14:paraId="6D5393B0" w14:textId="4D16AA70" w:rsidR="00CF64FB" w:rsidRPr="00F405F9" w:rsidRDefault="00CF64FB" w:rsidP="00CF64FB">
      <w:pPr>
        <w:spacing w:after="0" w:line="276" w:lineRule="auto"/>
        <w:rPr>
          <w:rFonts w:eastAsia="Times New Roman" w:cstheme="minorHAnsi"/>
          <w:sz w:val="24"/>
          <w:szCs w:val="24"/>
        </w:rPr>
      </w:pPr>
      <w:r w:rsidRPr="00CF64FB">
        <w:rPr>
          <w:rFonts w:eastAsia="Times New Roman" w:cstheme="minorHAnsi"/>
          <w:b/>
          <w:sz w:val="24"/>
          <w:szCs w:val="24"/>
        </w:rPr>
        <w:t>NOTE:</w:t>
      </w:r>
      <w:r>
        <w:rPr>
          <w:rFonts w:eastAsia="Times New Roman" w:cstheme="minorHAnsi"/>
          <w:sz w:val="24"/>
          <w:szCs w:val="24"/>
        </w:rPr>
        <w:t xml:space="preserve"> The </w:t>
      </w:r>
      <w:r w:rsidRPr="00CF64FB">
        <w:rPr>
          <w:rFonts w:eastAsia="Times New Roman" w:cstheme="minorHAnsi"/>
          <w:b/>
          <w:sz w:val="24"/>
          <w:szCs w:val="24"/>
        </w:rPr>
        <w:t>Job Accommodation Network</w:t>
      </w:r>
      <w:r>
        <w:rPr>
          <w:rFonts w:eastAsia="Times New Roman" w:cstheme="minorHAnsi"/>
          <w:b/>
          <w:sz w:val="24"/>
          <w:szCs w:val="24"/>
        </w:rPr>
        <w:t xml:space="preserve"> </w:t>
      </w:r>
      <w:r>
        <w:rPr>
          <w:rFonts w:eastAsia="Times New Roman" w:cstheme="minorHAnsi"/>
          <w:sz w:val="24"/>
          <w:szCs w:val="24"/>
        </w:rPr>
        <w:t xml:space="preserve">provides </w:t>
      </w:r>
      <w:r w:rsidR="002F6E88" w:rsidRPr="00FE7E5E">
        <w:rPr>
          <w:rFonts w:eastAsia="Times New Roman" w:cstheme="minorHAnsi"/>
          <w:sz w:val="24"/>
          <w:szCs w:val="24"/>
        </w:rPr>
        <w:t>free</w:t>
      </w:r>
      <w:r>
        <w:rPr>
          <w:rFonts w:eastAsia="Times New Roman" w:cstheme="minorHAnsi"/>
          <w:sz w:val="24"/>
          <w:szCs w:val="24"/>
        </w:rPr>
        <w:t xml:space="preserve"> guidance on workplace accommodations</w:t>
      </w:r>
      <w:r w:rsidR="002F6E88">
        <w:rPr>
          <w:rFonts w:eastAsia="Times New Roman" w:cstheme="minorHAnsi"/>
          <w:sz w:val="24"/>
          <w:szCs w:val="24"/>
        </w:rPr>
        <w:t>,</w:t>
      </w:r>
      <w:r>
        <w:rPr>
          <w:rFonts w:eastAsia="Times New Roman" w:cstheme="minorHAnsi"/>
          <w:sz w:val="24"/>
          <w:szCs w:val="24"/>
        </w:rPr>
        <w:t xml:space="preserve"> but they can also be helpful in finding possible solutions in other settings.</w:t>
      </w:r>
      <w:r w:rsidR="004752DC">
        <w:rPr>
          <w:rFonts w:eastAsia="Times New Roman" w:cstheme="minorHAnsi"/>
          <w:sz w:val="24"/>
          <w:szCs w:val="24"/>
        </w:rPr>
        <w:t xml:space="preserve"> Check out their extensive</w:t>
      </w:r>
      <w:r w:rsidR="004E5584">
        <w:rPr>
          <w:rFonts w:eastAsia="Times New Roman" w:cstheme="minorHAnsi"/>
          <w:sz w:val="24"/>
          <w:szCs w:val="24"/>
        </w:rPr>
        <w:t xml:space="preserve"> helpful</w:t>
      </w:r>
      <w:r w:rsidR="004752DC">
        <w:rPr>
          <w:rFonts w:eastAsia="Times New Roman" w:cstheme="minorHAnsi"/>
          <w:sz w:val="24"/>
          <w:szCs w:val="24"/>
        </w:rPr>
        <w:t xml:space="preserve"> website</w:t>
      </w:r>
      <w:r w:rsidR="00E61ED1">
        <w:rPr>
          <w:rFonts w:eastAsia="Times New Roman" w:cstheme="minorHAnsi"/>
          <w:sz w:val="24"/>
          <w:szCs w:val="24"/>
        </w:rPr>
        <w:t xml:space="preserve"> at </w:t>
      </w:r>
      <w:hyperlink r:id="rId12" w:history="1">
        <w:r w:rsidR="00E61ED1" w:rsidRPr="00CF64FB">
          <w:rPr>
            <w:rStyle w:val="Hyperlink"/>
            <w:rFonts w:eastAsia="Times New Roman" w:cstheme="minorHAnsi"/>
            <w:sz w:val="24"/>
            <w:szCs w:val="24"/>
          </w:rPr>
          <w:t>www.askjan.org</w:t>
        </w:r>
      </w:hyperlink>
      <w:r w:rsidR="004752DC">
        <w:rPr>
          <w:rFonts w:eastAsia="Times New Roman" w:cstheme="minorHAnsi"/>
          <w:sz w:val="24"/>
          <w:szCs w:val="24"/>
        </w:rPr>
        <w:t>.</w:t>
      </w:r>
    </w:p>
    <w:p w14:paraId="3A55BFB9" w14:textId="2B05A19B" w:rsidR="00436DCC" w:rsidRDefault="004752DC" w:rsidP="00CF64FB">
      <w:pPr>
        <w:spacing w:after="0" w:line="276" w:lineRule="auto"/>
        <w:rPr>
          <w:rFonts w:cstheme="minorHAnsi"/>
        </w:rPr>
      </w:pPr>
      <w:r w:rsidRPr="00DE225A">
        <w:rPr>
          <w:rFonts w:eastAsia="Times New Roman" w:cstheme="minorHAnsi"/>
          <w:noProof/>
          <w:sz w:val="24"/>
          <w:szCs w:val="24"/>
        </w:rPr>
        <w:drawing>
          <wp:anchor distT="0" distB="0" distL="114300" distR="114300" simplePos="0" relativeHeight="251659264" behindDoc="1" locked="0" layoutInCell="1" allowOverlap="1" wp14:anchorId="09C81590" wp14:editId="12156E29">
            <wp:simplePos x="0" y="0"/>
            <wp:positionH relativeFrom="margin">
              <wp:align>center</wp:align>
            </wp:positionH>
            <wp:positionV relativeFrom="paragraph">
              <wp:posOffset>95250</wp:posOffset>
            </wp:positionV>
            <wp:extent cx="1435608" cy="393192"/>
            <wp:effectExtent l="0" t="0" r="0" b="6985"/>
            <wp:wrapTight wrapText="bothSides">
              <wp:wrapPolygon edited="0">
                <wp:start x="0" y="0"/>
                <wp:lineTo x="0" y="20937"/>
                <wp:lineTo x="21218" y="20937"/>
                <wp:lineTo x="21218" y="0"/>
                <wp:lineTo x="0" y="0"/>
              </wp:wrapPolygon>
            </wp:wrapTight>
            <wp:docPr id="6"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608" cy="393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8EE8F" w14:textId="77777777" w:rsidR="00DE225A" w:rsidRPr="00DE225A" w:rsidRDefault="00DE225A" w:rsidP="00DE225A">
      <w:pPr>
        <w:rPr>
          <w:rFonts w:cstheme="minorHAnsi"/>
        </w:rPr>
      </w:pPr>
    </w:p>
    <w:sectPr w:rsidR="00DE225A" w:rsidRPr="00DE225A" w:rsidSect="005753DD">
      <w:headerReference w:type="even" r:id="rId14"/>
      <w:headerReference w:type="default" r:id="rId15"/>
      <w:footerReference w:type="even" r:id="rId16"/>
      <w:footerReference w:type="default" r:id="rId17"/>
      <w:headerReference w:type="first" r:id="rId18"/>
      <w:footerReference w:type="first" r:id="rId1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B1D61" w14:textId="77777777" w:rsidR="00770C1C" w:rsidRDefault="00770C1C" w:rsidP="000B0FE7">
      <w:pPr>
        <w:spacing w:after="0" w:line="240" w:lineRule="auto"/>
      </w:pPr>
      <w:r>
        <w:separator/>
      </w:r>
    </w:p>
  </w:endnote>
  <w:endnote w:type="continuationSeparator" w:id="0">
    <w:p w14:paraId="4BF12FB6" w14:textId="77777777" w:rsidR="00770C1C" w:rsidRDefault="00770C1C" w:rsidP="000B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BD75" w14:textId="77777777" w:rsidR="00742CF8" w:rsidRDefault="00742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73691"/>
      <w:docPartObj>
        <w:docPartGallery w:val="Page Numbers (Bottom of Page)"/>
        <w:docPartUnique/>
      </w:docPartObj>
    </w:sdtPr>
    <w:sdtEndPr/>
    <w:sdtContent>
      <w:sdt>
        <w:sdtPr>
          <w:id w:val="821469331"/>
          <w:docPartObj>
            <w:docPartGallery w:val="Page Numbers (Top of Page)"/>
            <w:docPartUnique/>
          </w:docPartObj>
        </w:sdtPr>
        <w:sdtEndPr/>
        <w:sdtContent>
          <w:p w14:paraId="5BB00817" w14:textId="77777777" w:rsidR="000B0FE7" w:rsidRDefault="000B0FE7" w:rsidP="005D21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5753DD">
              <w:rPr>
                <w:b/>
                <w:bCs/>
                <w:sz w:val="24"/>
                <w:szCs w:val="24"/>
              </w:rPr>
              <w:t xml:space="preserve"> </w:t>
            </w:r>
          </w:p>
        </w:sdtContent>
      </w:sdt>
    </w:sdtContent>
  </w:sdt>
  <w:p w14:paraId="0B333FA9" w14:textId="77777777" w:rsidR="000B0FE7" w:rsidRDefault="000B0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56FC" w14:textId="77777777" w:rsidR="00742CF8" w:rsidRDefault="00742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CC6FA" w14:textId="77777777" w:rsidR="00770C1C" w:rsidRDefault="00770C1C" w:rsidP="000B0FE7">
      <w:pPr>
        <w:spacing w:after="0" w:line="240" w:lineRule="auto"/>
      </w:pPr>
      <w:r>
        <w:separator/>
      </w:r>
    </w:p>
  </w:footnote>
  <w:footnote w:type="continuationSeparator" w:id="0">
    <w:p w14:paraId="50D4C1F1" w14:textId="77777777" w:rsidR="00770C1C" w:rsidRDefault="00770C1C" w:rsidP="000B0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2340" w14:textId="77777777" w:rsidR="000B0FE7" w:rsidRPr="009C2E13" w:rsidRDefault="009C2E13" w:rsidP="009C2E13">
    <w:pPr>
      <w:pStyle w:val="Header"/>
    </w:pPr>
    <w:r w:rsidRPr="009C2E13">
      <w:rPr>
        <w:noProof/>
      </w:rPr>
      <w:drawing>
        <wp:anchor distT="0" distB="0" distL="114300" distR="114300" simplePos="0" relativeHeight="251658240" behindDoc="1" locked="0" layoutInCell="1" allowOverlap="1" wp14:anchorId="64C63F99" wp14:editId="151F80F6">
          <wp:simplePos x="0" y="0"/>
          <wp:positionH relativeFrom="column">
            <wp:posOffset>5054600</wp:posOffset>
          </wp:positionH>
          <wp:positionV relativeFrom="paragraph">
            <wp:posOffset>-292100</wp:posOffset>
          </wp:positionV>
          <wp:extent cx="1596120" cy="440596"/>
          <wp:effectExtent l="0" t="0" r="4445" b="0"/>
          <wp:wrapNone/>
          <wp:docPr id="2"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6120" cy="4405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71F6" w14:textId="33912B16" w:rsidR="00215FB9" w:rsidRDefault="00215FB9" w:rsidP="00215FB9">
    <w:pPr>
      <w:pStyle w:val="Header"/>
      <w:jc w:val="right"/>
    </w:pPr>
    <w:r>
      <w:t>Year 202</w:t>
    </w:r>
    <w:r w:rsidR="00742CF8">
      <w:t>5</w:t>
    </w:r>
  </w:p>
  <w:p w14:paraId="3942671B" w14:textId="77777777" w:rsidR="00215FB9" w:rsidRDefault="00215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DC81" w14:textId="77777777" w:rsidR="00742CF8" w:rsidRDefault="0074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A0ECC"/>
    <w:multiLevelType w:val="multilevel"/>
    <w:tmpl w:val="4BA4499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076A6B"/>
    <w:multiLevelType w:val="multilevel"/>
    <w:tmpl w:val="A6A8FDD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6A3747"/>
    <w:multiLevelType w:val="multilevel"/>
    <w:tmpl w:val="C7B6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50274">
    <w:abstractNumId w:val="2"/>
  </w:num>
  <w:num w:numId="2" w16cid:durableId="1054810968">
    <w:abstractNumId w:val="0"/>
  </w:num>
  <w:num w:numId="3" w16cid:durableId="802848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F9"/>
    <w:rsid w:val="00052187"/>
    <w:rsid w:val="00064579"/>
    <w:rsid w:val="000B0FE7"/>
    <w:rsid w:val="000E6C54"/>
    <w:rsid w:val="00124967"/>
    <w:rsid w:val="001268EE"/>
    <w:rsid w:val="0013181A"/>
    <w:rsid w:val="001C0C1F"/>
    <w:rsid w:val="001D2933"/>
    <w:rsid w:val="001D4606"/>
    <w:rsid w:val="00215FB9"/>
    <w:rsid w:val="00231E79"/>
    <w:rsid w:val="00271656"/>
    <w:rsid w:val="00275184"/>
    <w:rsid w:val="00294A06"/>
    <w:rsid w:val="00294F6B"/>
    <w:rsid w:val="00297B91"/>
    <w:rsid w:val="002D6533"/>
    <w:rsid w:val="002F6E88"/>
    <w:rsid w:val="00321FC0"/>
    <w:rsid w:val="003A2C4D"/>
    <w:rsid w:val="003A2E6B"/>
    <w:rsid w:val="003D1C37"/>
    <w:rsid w:val="003F5773"/>
    <w:rsid w:val="00400264"/>
    <w:rsid w:val="0040438E"/>
    <w:rsid w:val="0042419E"/>
    <w:rsid w:val="004323AA"/>
    <w:rsid w:val="00436DCC"/>
    <w:rsid w:val="00447EFD"/>
    <w:rsid w:val="004752DC"/>
    <w:rsid w:val="004B62AD"/>
    <w:rsid w:val="004E5584"/>
    <w:rsid w:val="005753DD"/>
    <w:rsid w:val="005A0E96"/>
    <w:rsid w:val="005D2161"/>
    <w:rsid w:val="005D7FC3"/>
    <w:rsid w:val="00603BE7"/>
    <w:rsid w:val="00641439"/>
    <w:rsid w:val="0064783E"/>
    <w:rsid w:val="006A75A5"/>
    <w:rsid w:val="006E45BE"/>
    <w:rsid w:val="00742CF8"/>
    <w:rsid w:val="00756309"/>
    <w:rsid w:val="00770C1C"/>
    <w:rsid w:val="00784056"/>
    <w:rsid w:val="007D6E68"/>
    <w:rsid w:val="00836551"/>
    <w:rsid w:val="008510D0"/>
    <w:rsid w:val="0087245E"/>
    <w:rsid w:val="008B275D"/>
    <w:rsid w:val="00973D13"/>
    <w:rsid w:val="009740E2"/>
    <w:rsid w:val="0099452A"/>
    <w:rsid w:val="009C2E13"/>
    <w:rsid w:val="009F5B70"/>
    <w:rsid w:val="00A118E7"/>
    <w:rsid w:val="00A22E13"/>
    <w:rsid w:val="00A3524E"/>
    <w:rsid w:val="00AC7278"/>
    <w:rsid w:val="00B05795"/>
    <w:rsid w:val="00B30636"/>
    <w:rsid w:val="00B72427"/>
    <w:rsid w:val="00B836D6"/>
    <w:rsid w:val="00BC0DD1"/>
    <w:rsid w:val="00BD2C82"/>
    <w:rsid w:val="00BF1201"/>
    <w:rsid w:val="00BF65E0"/>
    <w:rsid w:val="00C02074"/>
    <w:rsid w:val="00C55F1B"/>
    <w:rsid w:val="00C70C58"/>
    <w:rsid w:val="00C97842"/>
    <w:rsid w:val="00CC0440"/>
    <w:rsid w:val="00CD6EF3"/>
    <w:rsid w:val="00CF40CB"/>
    <w:rsid w:val="00CF64FB"/>
    <w:rsid w:val="00D41B70"/>
    <w:rsid w:val="00D42E07"/>
    <w:rsid w:val="00D5118B"/>
    <w:rsid w:val="00D72A62"/>
    <w:rsid w:val="00DB1921"/>
    <w:rsid w:val="00DB572F"/>
    <w:rsid w:val="00DC26E6"/>
    <w:rsid w:val="00DE225A"/>
    <w:rsid w:val="00DF7940"/>
    <w:rsid w:val="00E07CD3"/>
    <w:rsid w:val="00E25DA0"/>
    <w:rsid w:val="00E32E79"/>
    <w:rsid w:val="00E4323E"/>
    <w:rsid w:val="00E44B94"/>
    <w:rsid w:val="00E61ED1"/>
    <w:rsid w:val="00E7357C"/>
    <w:rsid w:val="00EF5460"/>
    <w:rsid w:val="00F147EC"/>
    <w:rsid w:val="00F405F9"/>
    <w:rsid w:val="00F85F64"/>
    <w:rsid w:val="00FD7C81"/>
    <w:rsid w:val="00FE1C47"/>
    <w:rsid w:val="00FE1F8F"/>
    <w:rsid w:val="00FE76DA"/>
    <w:rsid w:val="00FE7E5E"/>
    <w:rsid w:val="00FF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C98C2"/>
  <w15:chartTrackingRefBased/>
  <w15:docId w15:val="{4908DD29-689B-4587-8848-F705C115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05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405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73D13"/>
    <w:pPr>
      <w:spacing w:after="0" w:line="240" w:lineRule="auto"/>
    </w:pPr>
    <w:rPr>
      <w:rFonts w:ascii="Times New Roman" w:hAnsi="Times New Roman"/>
      <w:sz w:val="24"/>
    </w:rPr>
  </w:style>
  <w:style w:type="character" w:customStyle="1" w:styleId="Style1Char">
    <w:name w:val="Style1 Char"/>
    <w:basedOn w:val="DefaultParagraphFont"/>
    <w:link w:val="Style1"/>
    <w:rsid w:val="00973D13"/>
    <w:rPr>
      <w:rFonts w:ascii="Times New Roman" w:hAnsi="Times New Roman"/>
      <w:sz w:val="24"/>
    </w:rPr>
  </w:style>
  <w:style w:type="character" w:customStyle="1" w:styleId="Heading1Char">
    <w:name w:val="Heading 1 Char"/>
    <w:basedOn w:val="DefaultParagraphFont"/>
    <w:link w:val="Heading1"/>
    <w:uiPriority w:val="9"/>
    <w:rsid w:val="00F405F9"/>
    <w:rPr>
      <w:rFonts w:ascii="Times New Roman" w:eastAsia="Times New Roman" w:hAnsi="Times New Roman" w:cs="Times New Roman"/>
      <w:b/>
      <w:bCs/>
      <w:kern w:val="36"/>
      <w:sz w:val="48"/>
      <w:szCs w:val="48"/>
    </w:rPr>
  </w:style>
  <w:style w:type="paragraph" w:customStyle="1" w:styleId="entry-meta">
    <w:name w:val="entry-meta"/>
    <w:basedOn w:val="Normal"/>
    <w:rsid w:val="00F40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F405F9"/>
  </w:style>
  <w:style w:type="character" w:styleId="Hyperlink">
    <w:name w:val="Hyperlink"/>
    <w:basedOn w:val="DefaultParagraphFont"/>
    <w:uiPriority w:val="99"/>
    <w:unhideWhenUsed/>
    <w:rsid w:val="00F405F9"/>
    <w:rPr>
      <w:color w:val="0000FF"/>
      <w:u w:val="single"/>
    </w:rPr>
  </w:style>
  <w:style w:type="character" w:customStyle="1" w:styleId="entry-author-name">
    <w:name w:val="entry-author-name"/>
    <w:basedOn w:val="DefaultParagraphFont"/>
    <w:rsid w:val="00F405F9"/>
  </w:style>
  <w:style w:type="character" w:customStyle="1" w:styleId="entry-comments-link">
    <w:name w:val="entry-comments-link"/>
    <w:basedOn w:val="DefaultParagraphFont"/>
    <w:rsid w:val="00F405F9"/>
  </w:style>
  <w:style w:type="paragraph" w:styleId="NormalWeb">
    <w:name w:val="Normal (Web)"/>
    <w:basedOn w:val="Normal"/>
    <w:uiPriority w:val="99"/>
    <w:semiHidden/>
    <w:unhideWhenUsed/>
    <w:rsid w:val="00F405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5F9"/>
    <w:rPr>
      <w:b/>
      <w:bCs/>
    </w:rPr>
  </w:style>
  <w:style w:type="character" w:styleId="UnresolvedMention">
    <w:name w:val="Unresolved Mention"/>
    <w:basedOn w:val="DefaultParagraphFont"/>
    <w:uiPriority w:val="99"/>
    <w:semiHidden/>
    <w:unhideWhenUsed/>
    <w:rsid w:val="00F405F9"/>
    <w:rPr>
      <w:color w:val="605E5C"/>
      <w:shd w:val="clear" w:color="auto" w:fill="E1DFDD"/>
    </w:rPr>
  </w:style>
  <w:style w:type="character" w:customStyle="1" w:styleId="Heading2Char">
    <w:name w:val="Heading 2 Char"/>
    <w:basedOn w:val="DefaultParagraphFont"/>
    <w:link w:val="Heading2"/>
    <w:uiPriority w:val="9"/>
    <w:semiHidden/>
    <w:rsid w:val="00F405F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B0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E7"/>
  </w:style>
  <w:style w:type="paragraph" w:styleId="Footer">
    <w:name w:val="footer"/>
    <w:basedOn w:val="Normal"/>
    <w:link w:val="FooterChar"/>
    <w:uiPriority w:val="99"/>
    <w:unhideWhenUsed/>
    <w:rsid w:val="000B0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FE7"/>
  </w:style>
  <w:style w:type="paragraph" w:styleId="BalloonText">
    <w:name w:val="Balloon Text"/>
    <w:basedOn w:val="Normal"/>
    <w:link w:val="BalloonTextChar"/>
    <w:uiPriority w:val="99"/>
    <w:semiHidden/>
    <w:unhideWhenUsed/>
    <w:rsid w:val="009C2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E13"/>
    <w:rPr>
      <w:rFonts w:ascii="Segoe UI" w:hAnsi="Segoe UI" w:cs="Segoe UI"/>
      <w:sz w:val="18"/>
      <w:szCs w:val="18"/>
    </w:rPr>
  </w:style>
  <w:style w:type="character" w:styleId="FollowedHyperlink">
    <w:name w:val="FollowedHyperlink"/>
    <w:basedOn w:val="DefaultParagraphFont"/>
    <w:uiPriority w:val="99"/>
    <w:semiHidden/>
    <w:unhideWhenUsed/>
    <w:rsid w:val="00F85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Dballinger@outlook.com"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skjan.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kjan.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illiamgoren.com/blog/2019/04/04/dos-and-donts-interactive-proces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da.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Ballinger</dc:creator>
  <cp:keywords/>
  <dc:description/>
  <cp:lastModifiedBy>Julie D. Ballinger</cp:lastModifiedBy>
  <cp:revision>22</cp:revision>
  <cp:lastPrinted>2019-04-29T18:27:00Z</cp:lastPrinted>
  <dcterms:created xsi:type="dcterms:W3CDTF">2019-08-02T21:11:00Z</dcterms:created>
  <dcterms:modified xsi:type="dcterms:W3CDTF">2025-02-11T20:40:00Z</dcterms:modified>
</cp:coreProperties>
</file>